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BBC1E7" w14:textId="14154595" w:rsidR="00C67A98" w:rsidRPr="00DA5352" w:rsidRDefault="001800AB" w:rsidP="00F41198">
      <w:pPr>
        <w:pStyle w:val="BodyTextIndent"/>
        <w:ind w:left="2007" w:hanging="9"/>
        <w:rPr>
          <w:rFonts w:ascii="Arial" w:hAnsi="Arial" w:cs="Arial"/>
          <w:color w:val="0000FF"/>
          <w:sz w:val="22"/>
          <w:szCs w:val="22"/>
        </w:rPr>
      </w:pPr>
      <w:r>
        <w:rPr>
          <w:noProof/>
          <w:color w:val="0000FF"/>
          <w:lang w:val="en-GB"/>
        </w:rPr>
        <w:drawing>
          <wp:anchor distT="0" distB="0" distL="114300" distR="114300" simplePos="0" relativeHeight="251658240" behindDoc="0" locked="0" layoutInCell="1" allowOverlap="1" wp14:anchorId="4F4222D0" wp14:editId="7D071749">
            <wp:simplePos x="0" y="0"/>
            <wp:positionH relativeFrom="column">
              <wp:posOffset>-85725</wp:posOffset>
            </wp:positionH>
            <wp:positionV relativeFrom="paragraph">
              <wp:posOffset>237490</wp:posOffset>
            </wp:positionV>
            <wp:extent cx="1238250" cy="762000"/>
            <wp:effectExtent l="0" t="0" r="635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>This form shoul</w:t>
      </w:r>
      <w:bookmarkStart w:id="4" w:name="_GoBack"/>
      <w:bookmarkEnd w:id="4"/>
      <w:r w:rsidR="00C67A98" w:rsidRPr="00DA5352">
        <w:rPr>
          <w:rFonts w:ascii="Arial" w:hAnsi="Arial" w:cs="Arial"/>
          <w:color w:val="0000FF"/>
          <w:sz w:val="22"/>
          <w:szCs w:val="22"/>
        </w:rPr>
        <w:t>d be used for all taxonomic proposals. Please complete all those modules that are applicable.</w:t>
      </w:r>
    </w:p>
    <w:p w14:paraId="7D0A8FBC" w14:textId="77777777" w:rsidR="00C67A98" w:rsidRPr="00DA5352" w:rsidRDefault="00C67A98" w:rsidP="00F41198">
      <w:pPr>
        <w:pStyle w:val="BodyTextIndent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 and the separate document “Help with completing a taxonomic proposal”</w:t>
      </w:r>
    </w:p>
    <w:p w14:paraId="19391C48" w14:textId="77777777" w:rsidR="00C67A98" w:rsidRPr="00DA5352" w:rsidRDefault="00C67A98" w:rsidP="00F41198">
      <w:pPr>
        <w:ind w:left="2007"/>
        <w:rPr>
          <w:color w:val="0000FF"/>
        </w:rPr>
      </w:pPr>
    </w:p>
    <w:p w14:paraId="3EFEA8BC" w14:textId="77777777" w:rsidR="00C67A98" w:rsidRPr="00DA5352" w:rsidRDefault="00C67A98" w:rsidP="00F41198">
      <w:pPr>
        <w:pStyle w:val="BodyTextIndent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Please try to keep related proposals within a single document</w:t>
      </w:r>
      <w:r w:rsidR="00F41198">
        <w:rPr>
          <w:rFonts w:ascii="Arial" w:hAnsi="Arial" w:cs="Arial"/>
          <w:color w:val="0000FF"/>
          <w:sz w:val="22"/>
          <w:szCs w:val="22"/>
        </w:rPr>
        <w:t>.</w:t>
      </w:r>
    </w:p>
    <w:p w14:paraId="4A9BFF13" w14:textId="77777777" w:rsidR="00AA1E2F" w:rsidRPr="00DA5352" w:rsidRDefault="00AA1E2F" w:rsidP="008E736E">
      <w:pPr>
        <w:pStyle w:val="BodyTextIndent"/>
        <w:ind w:left="0" w:firstLine="0"/>
        <w:rPr>
          <w:rFonts w:ascii="Arial" w:hAnsi="Arial" w:cs="Arial"/>
          <w:color w:val="0000FF"/>
          <w:sz w:val="22"/>
          <w:szCs w:val="22"/>
        </w:rPr>
      </w:pPr>
    </w:p>
    <w:p w14:paraId="5D956061" w14:textId="77777777" w:rsidR="006D1B4E" w:rsidRDefault="006D1B4E" w:rsidP="006D1B4E">
      <w:pPr>
        <w:rPr>
          <w:rFonts w:ascii="Arial" w:hAnsi="Arial" w:cs="Arial"/>
          <w:sz w:val="22"/>
          <w:szCs w:val="22"/>
          <w:lang w:val="en-GB"/>
        </w:rPr>
      </w:pPr>
    </w:p>
    <w:p w14:paraId="469F5955" w14:textId="77777777" w:rsidR="00AA1E2F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color w:val="000000"/>
          <w:sz w:val="20"/>
        </w:rPr>
        <w:t>Part</w:t>
      </w:r>
      <w:r w:rsidR="00AA1E2F" w:rsidRPr="00830785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>
        <w:rPr>
          <w:rFonts w:ascii="Arial" w:hAnsi="Arial" w:cs="Arial"/>
          <w:color w:val="000000"/>
          <w:sz w:val="22"/>
          <w:szCs w:val="22"/>
        </w:rPr>
        <w:t>1</w:t>
      </w:r>
      <w:r w:rsidR="00AA1E2F" w:rsidRPr="00830785">
        <w:rPr>
          <w:rFonts w:ascii="Arial" w:hAnsi="Arial" w:cs="Arial"/>
          <w:color w:val="000000"/>
          <w:sz w:val="22"/>
          <w:szCs w:val="22"/>
        </w:rPr>
        <w:t xml:space="preserve">: </w:t>
      </w:r>
      <w:r w:rsidR="00AA1E2F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>
        <w:rPr>
          <w:rFonts w:ascii="Arial" w:hAnsi="Arial" w:cs="Arial"/>
          <w:b/>
          <w:color w:val="000000"/>
          <w:sz w:val="22"/>
          <w:szCs w:val="22"/>
          <w:u w:val="single"/>
        </w:rPr>
        <w:t>, AUTHORS, etc</w:t>
      </w:r>
    </w:p>
    <w:p w14:paraId="6A32E187" w14:textId="77777777" w:rsidR="00AA1E2F" w:rsidRPr="006D1B4E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3064"/>
        <w:gridCol w:w="2147"/>
        <w:gridCol w:w="575"/>
        <w:gridCol w:w="591"/>
        <w:gridCol w:w="3091"/>
      </w:tblGrid>
      <w:tr w:rsidR="006D1B4E" w:rsidRPr="00D70DF3" w14:paraId="5E4B5DBB" w14:textId="77777777" w:rsidTr="00E927ED">
        <w:tc>
          <w:tcPr>
            <w:tcW w:w="306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D02D51B" w14:textId="77777777" w:rsidR="006D1B4E" w:rsidRPr="006D1B4E" w:rsidRDefault="006D1B4E" w:rsidP="00291213">
            <w:pPr>
              <w:pStyle w:val="BodyTextIndent"/>
              <w:ind w:left="0" w:firstLine="0"/>
              <w:rPr>
                <w:rFonts w:ascii="Times New Roman" w:hAnsi="Times New Roman"/>
                <w:b/>
                <w:i/>
                <w:sz w:val="36"/>
                <w:szCs w:val="36"/>
              </w:rPr>
            </w:pPr>
            <w:r w:rsidRPr="006D1B4E">
              <w:rPr>
                <w:rFonts w:ascii="Times New Roman" w:hAnsi="Times New Roman"/>
                <w:b/>
                <w:szCs w:val="24"/>
              </w:rPr>
              <w:t>Code assigned:</w:t>
            </w:r>
          </w:p>
        </w:tc>
        <w:tc>
          <w:tcPr>
            <w:tcW w:w="3313" w:type="dxa"/>
            <w:gridSpan w:val="3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0B63737" w14:textId="3DC5D92A" w:rsidR="006D1B4E" w:rsidRPr="00A43BF2" w:rsidRDefault="008C4DF5" w:rsidP="008C4DF5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A43BF2">
              <w:rPr>
                <w:rFonts w:ascii="Arial" w:hAnsi="Arial" w:cs="Arial"/>
                <w:b/>
                <w:i/>
                <w:sz w:val="36"/>
                <w:szCs w:val="36"/>
              </w:rPr>
              <w:t>2018.015P</w:t>
            </w:r>
          </w:p>
        </w:tc>
        <w:tc>
          <w:tcPr>
            <w:tcW w:w="3091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5970FA9E" w14:textId="77777777" w:rsidR="006D1B4E" w:rsidRPr="003E2830" w:rsidRDefault="006D1B4E" w:rsidP="00291213">
            <w:pPr>
              <w:pStyle w:val="BodyTextIndent"/>
              <w:ind w:left="0" w:firstLine="0"/>
              <w:rPr>
                <w:rFonts w:ascii="Times New Roman" w:hAnsi="Times New Roman"/>
              </w:rPr>
            </w:pPr>
            <w:r w:rsidRPr="001E492D">
              <w:rPr>
                <w:rFonts w:ascii="Arial" w:hAnsi="Arial" w:cs="Arial"/>
                <w:color w:val="0000FF"/>
                <w:sz w:val="20"/>
              </w:rPr>
              <w:t>(</w:t>
            </w:r>
            <w:r>
              <w:rPr>
                <w:rFonts w:ascii="Arial" w:hAnsi="Arial" w:cs="Arial"/>
                <w:color w:val="0000FF"/>
                <w:sz w:val="20"/>
              </w:rPr>
              <w:t>to be completed</w:t>
            </w:r>
            <w:r w:rsidRPr="001E492D">
              <w:rPr>
                <w:rFonts w:ascii="Arial" w:hAnsi="Arial" w:cs="Arial"/>
                <w:color w:val="0000FF"/>
                <w:sz w:val="20"/>
              </w:rPr>
              <w:t xml:space="preserve"> by ICTV officers)</w:t>
            </w:r>
          </w:p>
        </w:tc>
      </w:tr>
      <w:tr w:rsidR="006D1B4E" w:rsidRPr="001E492D" w14:paraId="1DE37836" w14:textId="77777777" w:rsidTr="00E927ED">
        <w:tc>
          <w:tcPr>
            <w:tcW w:w="9468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147BC2" w14:textId="77777777" w:rsidR="00E927ED" w:rsidRDefault="00E927ED" w:rsidP="00E927ED">
            <w:pPr>
              <w:jc w:val="both"/>
              <w:rPr>
                <w:b/>
              </w:rPr>
            </w:pPr>
          </w:p>
          <w:p w14:paraId="0C57C313" w14:textId="4217D756" w:rsidR="00AA3952" w:rsidRPr="00B51372" w:rsidRDefault="006D1B4E" w:rsidP="00B51372">
            <w:pPr>
              <w:spacing w:line="480" w:lineRule="auto"/>
              <w:jc w:val="both"/>
              <w:rPr>
                <w:b/>
                <w:i/>
              </w:rPr>
            </w:pPr>
            <w:r>
              <w:rPr>
                <w:b/>
              </w:rPr>
              <w:t>Short title:</w:t>
            </w:r>
            <w:r w:rsidR="00AA3952">
              <w:rPr>
                <w:b/>
              </w:rPr>
              <w:t xml:space="preserve"> </w:t>
            </w:r>
            <w:r w:rsidR="00842B58">
              <w:t xml:space="preserve">Grapevine enamovirus </w:t>
            </w:r>
            <w:r w:rsidR="00B51372" w:rsidRPr="00B51372">
              <w:t xml:space="preserve">1, a </w:t>
            </w:r>
            <w:r w:rsidR="00B0513E">
              <w:t>new</w:t>
            </w:r>
            <w:r w:rsidR="00B51372" w:rsidRPr="00B51372">
              <w:t xml:space="preserve"> </w:t>
            </w:r>
            <w:r w:rsidR="00B0513E">
              <w:t>species</w:t>
            </w:r>
            <w:r w:rsidR="00B51372" w:rsidRPr="00B51372">
              <w:t xml:space="preserve"> </w:t>
            </w:r>
            <w:r w:rsidR="00B0513E">
              <w:t>in</w:t>
            </w:r>
            <w:r w:rsidR="00B51372" w:rsidRPr="00B51372">
              <w:t xml:space="preserve"> the genus </w:t>
            </w:r>
            <w:r w:rsidR="00B51372" w:rsidRPr="00B51372">
              <w:rPr>
                <w:i/>
              </w:rPr>
              <w:t>Enamovirus</w:t>
            </w:r>
          </w:p>
        </w:tc>
      </w:tr>
      <w:tr w:rsidR="00636B14" w:rsidRPr="001E492D" w14:paraId="404F2ABF" w14:textId="77777777" w:rsidTr="00E927ED">
        <w:tc>
          <w:tcPr>
            <w:tcW w:w="9468" w:type="dxa"/>
            <w:gridSpan w:val="5"/>
            <w:tcBorders>
              <w:top w:val="double" w:sz="4" w:space="0" w:color="auto"/>
            </w:tcBorders>
          </w:tcPr>
          <w:p w14:paraId="3C666C22" w14:textId="77777777" w:rsidR="00636B14" w:rsidRPr="001E492D" w:rsidRDefault="00636B14" w:rsidP="00CE5ECF">
            <w:pPr>
              <w:spacing w:before="120" w:after="120"/>
              <w:rPr>
                <w:b/>
              </w:rPr>
            </w:pPr>
            <w:r>
              <w:rPr>
                <w:b/>
              </w:rPr>
              <w:t>Author</w:t>
            </w:r>
            <w:r w:rsidRPr="001E492D">
              <w:rPr>
                <w:b/>
              </w:rPr>
              <w:t>(s):</w:t>
            </w:r>
          </w:p>
        </w:tc>
      </w:tr>
      <w:tr w:rsidR="00636B14" w:rsidRPr="001E492D" w14:paraId="3A7C013B" w14:textId="77777777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A56C" w14:textId="3B6C15BC" w:rsidR="00E70D33" w:rsidRPr="00B0513E" w:rsidRDefault="00E70D33" w:rsidP="00B0513E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vertAlign w:val="superscript"/>
                <w:lang w:val="pt-BR"/>
              </w:rPr>
            </w:pPr>
            <w:r w:rsidRPr="00B0513E"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>João Marcos Fagundes Silva, Maher Al Rwahnih, Rosana Blawid, Tatsuya Nagata, Thor Vinícius Martins Fajardo</w:t>
            </w:r>
          </w:p>
          <w:p w14:paraId="6401F760" w14:textId="42DC8B82" w:rsidR="00636B14" w:rsidRPr="00E70D33" w:rsidRDefault="00636B14" w:rsidP="00B0513E">
            <w:pPr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CE5ECF" w:rsidRPr="001E492D" w14:paraId="6083AEAC" w14:textId="77777777" w:rsidTr="003B1954">
        <w:tc>
          <w:tcPr>
            <w:tcW w:w="9468" w:type="dxa"/>
            <w:gridSpan w:val="5"/>
          </w:tcPr>
          <w:p w14:paraId="424808BA" w14:textId="77777777" w:rsidR="00CE5ECF" w:rsidRPr="001E492D" w:rsidRDefault="00CE5ECF" w:rsidP="00CE5ECF">
            <w:pPr>
              <w:spacing w:before="120" w:after="120"/>
              <w:rPr>
                <w:b/>
              </w:rPr>
            </w:pPr>
            <w:r>
              <w:rPr>
                <w:b/>
              </w:rPr>
              <w:t>Corresponding author</w:t>
            </w:r>
            <w:r w:rsidRPr="001E492D">
              <w:rPr>
                <w:b/>
              </w:rPr>
              <w:t xml:space="preserve"> with e</w:t>
            </w:r>
            <w:r>
              <w:rPr>
                <w:b/>
              </w:rPr>
              <w:t>-</w:t>
            </w:r>
            <w:r w:rsidRPr="001E492D">
              <w:rPr>
                <w:b/>
              </w:rPr>
              <w:t>mail address:</w:t>
            </w:r>
          </w:p>
        </w:tc>
      </w:tr>
      <w:tr w:rsidR="00CE5ECF" w:rsidRPr="009D0832" w14:paraId="045F03F7" w14:textId="77777777" w:rsidTr="003B1954">
        <w:tc>
          <w:tcPr>
            <w:tcW w:w="94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D3ED" w14:textId="77777777" w:rsidR="00CE5ECF" w:rsidRPr="00E927ED" w:rsidRDefault="00E70D33" w:rsidP="00E70D33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</w:pPr>
            <w:r w:rsidRPr="00E927ED">
              <w:rPr>
                <w:rFonts w:ascii="Arial" w:hAnsi="Arial" w:cs="Arial"/>
                <w:color w:val="000000"/>
                <w:sz w:val="22"/>
                <w:szCs w:val="22"/>
                <w:lang w:val="pt-BR"/>
              </w:rPr>
              <w:t>Thor Vinícius Martins Fajardo (thor.fajardo@embrapa.br)</w:t>
            </w:r>
          </w:p>
        </w:tc>
      </w:tr>
      <w:tr w:rsidR="00D1634C" w14:paraId="30913CBC" w14:textId="77777777">
        <w:tc>
          <w:tcPr>
            <w:tcW w:w="9468" w:type="dxa"/>
            <w:gridSpan w:val="5"/>
          </w:tcPr>
          <w:p w14:paraId="4C27DE8A" w14:textId="77777777" w:rsidR="00D1634C" w:rsidRDefault="00C15EC4" w:rsidP="00C15EC4">
            <w:pPr>
              <w:spacing w:before="120" w:after="120"/>
              <w:rPr>
                <w:b/>
              </w:rPr>
            </w:pPr>
            <w:r>
              <w:rPr>
                <w:b/>
              </w:rPr>
              <w:t>List the ICTV study group(s) that have seen this proposal</w:t>
            </w:r>
            <w:r w:rsidRPr="001E492D">
              <w:rPr>
                <w:b/>
              </w:rPr>
              <w:t>:</w:t>
            </w:r>
          </w:p>
        </w:tc>
      </w:tr>
      <w:tr w:rsidR="00D1634C" w14:paraId="5DBFC1AC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C1A7" w14:textId="77777777" w:rsidR="00D1634C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AC185D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>
              <w:rPr>
                <w:rFonts w:ascii="Arial" w:hAnsi="Arial" w:cs="Arial"/>
                <w:color w:val="0000FF"/>
                <w:sz w:val="20"/>
              </w:rPr>
              <w:t xml:space="preserve">, animal ssRNA-, </w:t>
            </w:r>
            <w:r w:rsidR="00295698">
              <w:rPr>
                <w:rFonts w:ascii="Arial" w:hAnsi="Arial" w:cs="Arial"/>
                <w:color w:val="0000FF"/>
                <w:sz w:val="20"/>
              </w:rPr>
              <w:t xml:space="preserve">animal ssRNA+, </w:t>
            </w:r>
            <w:r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6168" w14:textId="6E838140" w:rsidR="00B85CF3" w:rsidRPr="00B85CF3" w:rsidRDefault="00B85CF3" w:rsidP="00B0513E">
            <w:pPr>
              <w:rPr>
                <w:b/>
              </w:rPr>
            </w:pPr>
            <w:r w:rsidRPr="00B0513E">
              <w:rPr>
                <w:rFonts w:ascii="Arial" w:hAnsi="Arial" w:cs="Arial"/>
                <w:i/>
                <w:sz w:val="22"/>
                <w:szCs w:val="20"/>
                <w:lang w:eastAsia="en-GB"/>
              </w:rPr>
              <w:t>Luteoviridae</w:t>
            </w:r>
            <w:r w:rsidRPr="00B0513E">
              <w:rPr>
                <w:rFonts w:ascii="Arial" w:hAnsi="Arial" w:cs="Arial"/>
                <w:sz w:val="22"/>
                <w:szCs w:val="20"/>
                <w:lang w:eastAsia="en-GB"/>
              </w:rPr>
              <w:t xml:space="preserve"> Study Group</w:t>
            </w:r>
            <w:r w:rsidR="00B0513E" w:rsidRPr="00B0513E">
              <w:rPr>
                <w:rFonts w:ascii="Arial" w:hAnsi="Arial" w:cs="Arial"/>
                <w:sz w:val="22"/>
                <w:szCs w:val="20"/>
                <w:lang w:eastAsia="en-GB"/>
              </w:rPr>
              <w:t xml:space="preserve"> (</w:t>
            </w:r>
            <w:r w:rsidRPr="00B0513E">
              <w:rPr>
                <w:rFonts w:ascii="Arial" w:hAnsi="Arial" w:cs="Arial"/>
                <w:sz w:val="22"/>
                <w:szCs w:val="20"/>
                <w:lang w:eastAsia="en-GB"/>
              </w:rPr>
              <w:t>Chair</w:t>
            </w:r>
            <w:r w:rsidR="00B0513E" w:rsidRPr="00B0513E">
              <w:rPr>
                <w:rFonts w:ascii="Arial" w:hAnsi="Arial" w:cs="Arial"/>
                <w:sz w:val="22"/>
                <w:szCs w:val="20"/>
                <w:lang w:eastAsia="en-GB"/>
              </w:rPr>
              <w:t>:</w:t>
            </w:r>
            <w:r w:rsidRPr="00B0513E">
              <w:rPr>
                <w:rFonts w:ascii="Arial" w:hAnsi="Arial" w:cs="Arial"/>
                <w:sz w:val="22"/>
                <w:szCs w:val="20"/>
                <w:lang w:eastAsia="en-GB"/>
              </w:rPr>
              <w:t xml:space="preserve"> W. Allen Miller</w:t>
            </w:r>
            <w:r w:rsidR="00B0513E" w:rsidRPr="00B0513E">
              <w:rPr>
                <w:rFonts w:ascii="Arial" w:hAnsi="Arial" w:cs="Arial"/>
                <w:sz w:val="22"/>
                <w:szCs w:val="20"/>
                <w:lang w:eastAsia="en-GB"/>
              </w:rPr>
              <w:t>,</w:t>
            </w:r>
            <w:r w:rsidR="00B0513E" w:rsidRPr="00B0513E">
              <w:rPr>
                <w:rFonts w:ascii="Arial" w:hAnsi="Arial" w:cs="Arial"/>
                <w:color w:val="000000" w:themeColor="text1"/>
                <w:sz w:val="22"/>
                <w:szCs w:val="20"/>
                <w:lang w:eastAsia="en-GB"/>
              </w:rPr>
              <w:t xml:space="preserve"> </w:t>
            </w:r>
            <w:r w:rsidRPr="00B0513E">
              <w:rPr>
                <w:rStyle w:val="Hyperlink"/>
                <w:rFonts w:ascii="Arial" w:hAnsi="Arial" w:cs="Arial"/>
                <w:color w:val="000000" w:themeColor="text1"/>
                <w:sz w:val="22"/>
                <w:szCs w:val="20"/>
                <w:u w:val="none"/>
                <w:lang w:eastAsia="en-GB"/>
              </w:rPr>
              <w:t>wamiller@iastate.edu</w:t>
            </w:r>
            <w:r w:rsidRPr="00B0513E">
              <w:rPr>
                <w:rFonts w:ascii="Arial" w:hAnsi="Arial" w:cs="Arial"/>
                <w:sz w:val="22"/>
                <w:szCs w:val="20"/>
                <w:lang w:eastAsia="en-GB"/>
              </w:rPr>
              <w:t>)</w:t>
            </w:r>
          </w:p>
        </w:tc>
      </w:tr>
      <w:tr w:rsidR="00AA3952" w:rsidRPr="001E492D" w14:paraId="64AFB3FD" w14:textId="77777777">
        <w:trPr>
          <w:tblHeader/>
        </w:trPr>
        <w:tc>
          <w:tcPr>
            <w:tcW w:w="9468" w:type="dxa"/>
            <w:gridSpan w:val="5"/>
          </w:tcPr>
          <w:p w14:paraId="2075DD18" w14:textId="77777777" w:rsidR="00AA3952" w:rsidRPr="001E492D" w:rsidRDefault="00AA3952" w:rsidP="00CE5ECF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ICTV Study Group </w:t>
            </w:r>
            <w:r w:rsidRPr="001E492D">
              <w:rPr>
                <w:b/>
              </w:rPr>
              <w:t xml:space="preserve">comments </w:t>
            </w:r>
            <w:r w:rsidR="00CE5ECF">
              <w:rPr>
                <w:b/>
              </w:rPr>
              <w:t xml:space="preserve">(if any) </w:t>
            </w:r>
            <w:r w:rsidRPr="001E492D">
              <w:rPr>
                <w:b/>
              </w:rPr>
              <w:t xml:space="preserve">and response of the </w:t>
            </w:r>
            <w:r>
              <w:rPr>
                <w:b/>
              </w:rPr>
              <w:t>proposer</w:t>
            </w:r>
            <w:r w:rsidRPr="001E492D">
              <w:rPr>
                <w:b/>
              </w:rPr>
              <w:t>:</w:t>
            </w:r>
          </w:p>
        </w:tc>
      </w:tr>
      <w:tr w:rsidR="00AA3952" w:rsidRPr="001E492D" w14:paraId="5A309C31" w14:textId="77777777">
        <w:trPr>
          <w:trHeight w:val="270"/>
        </w:trPr>
        <w:tc>
          <w:tcPr>
            <w:tcW w:w="946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398DBAF" w14:textId="77777777" w:rsidR="00AA3952" w:rsidRPr="00AA3952" w:rsidRDefault="00D1634C" w:rsidP="00291213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</w:p>
        </w:tc>
      </w:tr>
      <w:tr w:rsidR="00422FF0" w:rsidRPr="001E492D" w14:paraId="0C2DFF2E" w14:textId="77777777">
        <w:trPr>
          <w:trHeight w:val="270"/>
        </w:trPr>
        <w:tc>
          <w:tcPr>
            <w:tcW w:w="9468" w:type="dxa"/>
            <w:gridSpan w:val="5"/>
            <w:tcBorders>
              <w:top w:val="single" w:sz="4" w:space="0" w:color="auto"/>
            </w:tcBorders>
          </w:tcPr>
          <w:p w14:paraId="15E4F8EB" w14:textId="77777777" w:rsidR="00422FF0" w:rsidRDefault="00422FF0" w:rsidP="00291213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  <w:tr w:rsidR="00422FF0" w:rsidRPr="001E492D" w14:paraId="688C77E7" w14:textId="77777777" w:rsidTr="00C15EC4">
        <w:trPr>
          <w:trHeight w:val="270"/>
        </w:trPr>
        <w:tc>
          <w:tcPr>
            <w:tcW w:w="5786" w:type="dxa"/>
            <w:gridSpan w:val="3"/>
          </w:tcPr>
          <w:p w14:paraId="5BA336D7" w14:textId="77777777" w:rsidR="00422FF0" w:rsidRPr="00377A06" w:rsidRDefault="00422FF0" w:rsidP="00291213">
            <w:pPr>
              <w:pStyle w:val="BodyTextIndent"/>
              <w:ind w:left="0" w:firstLine="0"/>
              <w:rPr>
                <w:rFonts w:ascii="Times New Roman" w:hAnsi="Times New Roman"/>
              </w:rPr>
            </w:pPr>
            <w:r w:rsidRPr="00377A06">
              <w:rPr>
                <w:rFonts w:ascii="Times New Roman" w:hAnsi="Times New Roman"/>
              </w:rPr>
              <w:t>Date first submitted to ICTV:</w:t>
            </w:r>
          </w:p>
        </w:tc>
        <w:tc>
          <w:tcPr>
            <w:tcW w:w="3682" w:type="dxa"/>
            <w:gridSpan w:val="2"/>
          </w:tcPr>
          <w:p w14:paraId="1F7BB99D" w14:textId="542011BD" w:rsidR="00422FF0" w:rsidRPr="00E927ED" w:rsidRDefault="00516C16" w:rsidP="00D437CD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E927ED">
              <w:rPr>
                <w:rFonts w:ascii="Arial" w:hAnsi="Arial" w:cs="Arial"/>
                <w:color w:val="000000"/>
                <w:sz w:val="22"/>
              </w:rPr>
              <w:t>Ju</w:t>
            </w:r>
            <w:r w:rsidR="00D437CD" w:rsidRPr="00E927ED">
              <w:rPr>
                <w:rFonts w:ascii="Arial" w:hAnsi="Arial" w:cs="Arial"/>
                <w:color w:val="000000"/>
                <w:sz w:val="22"/>
              </w:rPr>
              <w:t>ne 30</w:t>
            </w:r>
            <w:r w:rsidR="00B0513E" w:rsidRPr="00E927ED">
              <w:rPr>
                <w:rFonts w:ascii="Arial" w:hAnsi="Arial" w:cs="Arial"/>
                <w:color w:val="000000"/>
                <w:sz w:val="22"/>
                <w:vertAlign w:val="superscript"/>
              </w:rPr>
              <w:t>th</w:t>
            </w:r>
            <w:r w:rsidR="00B0513E" w:rsidRPr="00E927ED">
              <w:rPr>
                <w:rFonts w:ascii="Arial" w:hAnsi="Arial" w:cs="Arial"/>
                <w:color w:val="000000"/>
                <w:sz w:val="22"/>
              </w:rPr>
              <w:t>,</w:t>
            </w:r>
            <w:r w:rsidRPr="00E927ED">
              <w:rPr>
                <w:rFonts w:ascii="Arial" w:hAnsi="Arial" w:cs="Arial"/>
                <w:color w:val="000000"/>
                <w:sz w:val="22"/>
              </w:rPr>
              <w:t xml:space="preserve"> 2017</w:t>
            </w:r>
          </w:p>
        </w:tc>
      </w:tr>
      <w:tr w:rsidR="00422FF0" w:rsidRPr="001E492D" w14:paraId="1665D7F2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6FE0B7C6" w14:textId="77777777" w:rsidR="00422FF0" w:rsidRPr="00377A06" w:rsidRDefault="00422FF0" w:rsidP="00291213">
            <w:pPr>
              <w:pStyle w:val="BodyTextIndent"/>
              <w:ind w:left="0" w:firstLine="0"/>
              <w:rPr>
                <w:rFonts w:ascii="Times New Roman" w:hAnsi="Times New Roman"/>
              </w:rPr>
            </w:pPr>
            <w:r w:rsidRPr="00377A06">
              <w:rPr>
                <w:rFonts w:ascii="Times New Roman" w:hAnsi="Times New Roman"/>
              </w:rPr>
              <w:t>Date of this revision (if different to above):</w:t>
            </w:r>
          </w:p>
        </w:tc>
        <w:tc>
          <w:tcPr>
            <w:tcW w:w="3682" w:type="dxa"/>
            <w:gridSpan w:val="2"/>
            <w:tcBorders>
              <w:bottom w:val="single" w:sz="4" w:space="0" w:color="auto"/>
            </w:tcBorders>
          </w:tcPr>
          <w:p w14:paraId="1AF7257C" w14:textId="77777777" w:rsidR="00422FF0" w:rsidRDefault="00422FF0" w:rsidP="00291213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>
              <w:rPr>
                <w:rFonts w:ascii="Times New Roman" w:hAnsi="Times New Roman"/>
                <w:color w:val="000000"/>
              </w:rPr>
              <w:instrText xml:space="preserve"> FORMTEXT </w:instrTex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  <w:fldChar w:fldCharType="separate"/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noProof/>
                <w:color w:val="000000"/>
              </w:rPr>
              <w:t> </w:t>
            </w:r>
            <w:r>
              <w:rPr>
                <w:rFonts w:ascii="Times New Roman" w:hAnsi="Times New Roman"/>
                <w:color w:val="000000"/>
              </w:rPr>
              <w:fldChar w:fldCharType="end"/>
            </w:r>
          </w:p>
        </w:tc>
      </w:tr>
    </w:tbl>
    <w:p w14:paraId="5C1A26D8" w14:textId="77777777" w:rsidR="008E736E" w:rsidRDefault="008E736E" w:rsidP="00AA3952">
      <w:pPr>
        <w:pStyle w:val="BodyTextIndent"/>
        <w:ind w:left="0" w:firstLine="0"/>
        <w:rPr>
          <w:rFonts w:ascii="Times New Roman" w:hAnsi="Times New Roman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1E492D" w14:paraId="2B93BD8B" w14:textId="77777777" w:rsidTr="003B1954">
        <w:tc>
          <w:tcPr>
            <w:tcW w:w="9468" w:type="dxa"/>
          </w:tcPr>
          <w:p w14:paraId="725114B1" w14:textId="77777777" w:rsidR="00CE5ECF" w:rsidRPr="001E492D" w:rsidRDefault="00CE5ECF" w:rsidP="00CE5ECF">
            <w:pPr>
              <w:spacing w:before="120" w:after="120"/>
              <w:rPr>
                <w:b/>
              </w:rPr>
            </w:pPr>
            <w:r>
              <w:rPr>
                <w:b/>
              </w:rPr>
              <w:t>ICTV-EC</w:t>
            </w:r>
            <w:r w:rsidRPr="001E492D">
              <w:rPr>
                <w:b/>
              </w:rPr>
              <w:t xml:space="preserve"> comments</w:t>
            </w:r>
            <w:r>
              <w:rPr>
                <w:b/>
              </w:rPr>
              <w:t xml:space="preserve"> </w:t>
            </w:r>
            <w:r w:rsidRPr="001E492D">
              <w:rPr>
                <w:b/>
              </w:rPr>
              <w:t xml:space="preserve">and response of the </w:t>
            </w:r>
            <w:r>
              <w:rPr>
                <w:b/>
              </w:rPr>
              <w:t>proposer</w:t>
            </w:r>
            <w:r w:rsidRPr="001E492D">
              <w:rPr>
                <w:b/>
              </w:rPr>
              <w:t>:</w:t>
            </w:r>
          </w:p>
        </w:tc>
      </w:tr>
      <w:tr w:rsidR="00CE5ECF" w:rsidRPr="00C61931" w14:paraId="3F0EF9D1" w14:textId="77777777" w:rsidTr="003B1954"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3F0F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3C9298D3" w14:textId="77777777" w:rsidR="00991A82" w:rsidRDefault="00991A82" w:rsidP="009E036E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14:paraId="5EFD9E95" w14:textId="77777777" w:rsidR="004B5D02" w:rsidRDefault="004B5D02" w:rsidP="009E036E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14:paraId="42B9A25B" w14:textId="77777777" w:rsidR="004B5D02" w:rsidRPr="006C4A0C" w:rsidRDefault="00CF3890" w:rsidP="004B5D02">
      <w:pPr>
        <w:rPr>
          <w:rFonts w:eastAsia="Times"/>
          <w:color w:val="000000"/>
          <w:sz w:val="22"/>
          <w:szCs w:val="22"/>
          <w:lang w:eastAsia="en-GB"/>
        </w:rPr>
      </w:pPr>
      <w:r w:rsidRPr="006B2EE7">
        <w:rPr>
          <w:rFonts w:ascii="Arial" w:hAnsi="Arial" w:cs="Arial"/>
          <w:b/>
          <w:color w:val="000000"/>
          <w:sz w:val="20"/>
        </w:rPr>
        <w:t>Part</w:t>
      </w:r>
      <w:r w:rsidR="004B5D02" w:rsidRPr="006B2EE7">
        <w:rPr>
          <w:rFonts w:ascii="Arial" w:hAnsi="Arial" w:cs="Arial"/>
          <w:b/>
          <w:color w:val="000000"/>
          <w:sz w:val="22"/>
          <w:szCs w:val="22"/>
        </w:rPr>
        <w:t xml:space="preserve"> 2</w:t>
      </w:r>
      <w:r w:rsidR="004B5D02" w:rsidRPr="00830785">
        <w:rPr>
          <w:rFonts w:ascii="Arial" w:hAnsi="Arial" w:cs="Arial"/>
          <w:color w:val="000000"/>
          <w:sz w:val="22"/>
          <w:szCs w:val="22"/>
        </w:rPr>
        <w:t xml:space="preserve">: </w:t>
      </w:r>
      <w:r w:rsidR="004B5D02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4937AC" w:rsidRPr="003E2830" w14:paraId="2E9F3D9A" w14:textId="77777777" w:rsidTr="007D5A73">
        <w:tc>
          <w:tcPr>
            <w:tcW w:w="9468" w:type="dxa"/>
            <w:tcBorders>
              <w:top w:val="nil"/>
              <w:left w:val="nil"/>
              <w:right w:val="nil"/>
            </w:tcBorders>
            <w:vAlign w:val="center"/>
          </w:tcPr>
          <w:p w14:paraId="669649EF" w14:textId="77777777" w:rsidR="004937AC" w:rsidRPr="00DD00F3" w:rsidRDefault="004937AC" w:rsidP="00D2300C">
            <w:pPr>
              <w:pStyle w:val="BodyTextIndent"/>
              <w:spacing w:after="120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999999"/>
              </w:rPr>
              <w:t>Present the proposed new taxonomy on accompanying spreadsheet</w:t>
            </w:r>
          </w:p>
        </w:tc>
      </w:tr>
      <w:tr w:rsidR="007D6DB6" w:rsidRPr="001E492D" w14:paraId="78006B03" w14:textId="77777777" w:rsidTr="00F85A70">
        <w:trPr>
          <w:trHeight w:val="598"/>
        </w:trPr>
        <w:tc>
          <w:tcPr>
            <w:tcW w:w="946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2E0B0660" w14:textId="3E241B62" w:rsidR="007D6DB6" w:rsidRPr="001E492D" w:rsidRDefault="007D6DB6" w:rsidP="00A5210B">
            <w:pPr>
              <w:spacing w:before="120"/>
              <w:rPr>
                <w:b/>
              </w:rPr>
            </w:pPr>
            <w:r>
              <w:rPr>
                <w:b/>
              </w:rPr>
              <w:t>Name of accompanying spreadsheet:</w:t>
            </w:r>
            <w:r w:rsidR="00EC6D50">
              <w:rPr>
                <w:b/>
              </w:rPr>
              <w:t xml:space="preserve"> </w:t>
            </w:r>
            <w:r w:rsidR="008C4DF5">
              <w:t>2018.015P.N.v1.Enamovirus_</w:t>
            </w:r>
            <w:r w:rsidR="00BF7EF6">
              <w:t>sp.xlsx</w:t>
            </w:r>
          </w:p>
        </w:tc>
      </w:tr>
    </w:tbl>
    <w:p w14:paraId="43163FA3" w14:textId="77777777" w:rsidR="004B5D02" w:rsidRPr="003B7125" w:rsidRDefault="004B5D02" w:rsidP="00D2300C">
      <w:pPr>
        <w:pStyle w:val="BodyTextIndent"/>
        <w:spacing w:before="120"/>
        <w:ind w:left="0" w:firstLine="0"/>
        <w:rPr>
          <w:rFonts w:ascii="Arial" w:hAnsi="Arial" w:cs="Arial"/>
          <w:color w:val="0000FF"/>
          <w:sz w:val="20"/>
        </w:rPr>
      </w:pPr>
      <w:r w:rsidRPr="003B7125">
        <w:rPr>
          <w:rFonts w:ascii="Arial" w:hAnsi="Arial" w:cs="Arial"/>
          <w:color w:val="0000FF"/>
          <w:sz w:val="20"/>
        </w:rPr>
        <w:t xml:space="preserve">Please display the taxonomic changes you are proposing on the </w:t>
      </w:r>
      <w:r w:rsidR="00D62298" w:rsidRPr="003B7125">
        <w:rPr>
          <w:rFonts w:ascii="Arial" w:hAnsi="Arial" w:cs="Arial"/>
          <w:color w:val="0000FF"/>
          <w:sz w:val="20"/>
        </w:rPr>
        <w:t xml:space="preserve">accompanying </w:t>
      </w:r>
      <w:r w:rsidRPr="003B7125">
        <w:rPr>
          <w:rFonts w:ascii="Arial" w:hAnsi="Arial" w:cs="Arial"/>
          <w:color w:val="0000FF"/>
          <w:sz w:val="20"/>
        </w:rPr>
        <w:t>spreadsheet</w:t>
      </w:r>
      <w:r w:rsidR="00FE11B0" w:rsidRPr="003B7125">
        <w:rPr>
          <w:rFonts w:ascii="Arial" w:hAnsi="Arial" w:cs="Arial"/>
          <w:color w:val="0000FF"/>
          <w:sz w:val="20"/>
        </w:rPr>
        <w:t xml:space="preserve"> module</w:t>
      </w:r>
      <w:r w:rsidRPr="003B7125">
        <w:rPr>
          <w:rFonts w:ascii="Arial" w:hAnsi="Arial" w:cs="Arial"/>
          <w:color w:val="0000FF"/>
          <w:sz w:val="20"/>
        </w:rPr>
        <w:t xml:space="preserve"> </w:t>
      </w:r>
      <w:r w:rsidR="008F03D2" w:rsidRPr="003B7125">
        <w:rPr>
          <w:rFonts w:ascii="Arial" w:hAnsi="Arial" w:cs="Arial"/>
          <w:color w:val="0000FF"/>
          <w:sz w:val="20"/>
        </w:rPr>
        <w:t>2017_TP_Template_</w:t>
      </w:r>
      <w:r w:rsidR="0069409C">
        <w:rPr>
          <w:rFonts w:ascii="Arial" w:hAnsi="Arial" w:cs="Arial"/>
          <w:color w:val="0000FF"/>
          <w:sz w:val="20"/>
        </w:rPr>
        <w:t>Excel_module</w:t>
      </w:r>
      <w:r w:rsidR="00D62298" w:rsidRPr="003B7125">
        <w:rPr>
          <w:rFonts w:ascii="Arial" w:hAnsi="Arial" w:cs="Arial"/>
          <w:color w:val="0000FF"/>
          <w:sz w:val="20"/>
        </w:rPr>
        <w:t xml:space="preserve">. Submit both </w:t>
      </w:r>
      <w:r w:rsidR="0044774D" w:rsidRPr="003B7125">
        <w:rPr>
          <w:rFonts w:ascii="Arial" w:hAnsi="Arial" w:cs="Arial"/>
          <w:color w:val="0000FF"/>
          <w:sz w:val="20"/>
        </w:rPr>
        <w:t xml:space="preserve">this and the spreadsheet </w:t>
      </w:r>
      <w:r w:rsidR="00D62298" w:rsidRPr="003B7125">
        <w:rPr>
          <w:rFonts w:ascii="Arial" w:hAnsi="Arial" w:cs="Arial"/>
          <w:color w:val="0000FF"/>
          <w:sz w:val="20"/>
        </w:rPr>
        <w:t>to the appropriate ICTV Subcommittee Chair.</w:t>
      </w:r>
    </w:p>
    <w:p w14:paraId="47941945" w14:textId="77777777" w:rsidR="004937AC" w:rsidRDefault="004937AC" w:rsidP="00926A4D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14:paraId="179A49BB" w14:textId="77777777" w:rsidR="004937AC" w:rsidRDefault="004937AC" w:rsidP="00926A4D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14:paraId="150B405C" w14:textId="77777777" w:rsidR="004937AC" w:rsidRDefault="004937AC" w:rsidP="00926A4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6BB0D074" w14:textId="77777777" w:rsidR="00034DE5" w:rsidRPr="006F44A4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6B2EE7">
        <w:rPr>
          <w:rFonts w:ascii="Arial" w:hAnsi="Arial" w:cs="Arial"/>
          <w:b/>
          <w:color w:val="000000"/>
          <w:sz w:val="20"/>
        </w:rPr>
        <w:lastRenderedPageBreak/>
        <w:t>Part 3</w:t>
      </w:r>
      <w:r w:rsidR="00034DE5" w:rsidRPr="006B2EE7">
        <w:rPr>
          <w:rFonts w:ascii="Arial" w:hAnsi="Arial" w:cs="Arial"/>
          <w:b/>
          <w:color w:val="000000"/>
          <w:sz w:val="22"/>
          <w:szCs w:val="22"/>
        </w:rPr>
        <w:t>:</w:t>
      </w:r>
      <w:r w:rsidR="00034DE5" w:rsidRPr="00830785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7939D378" w14:textId="77777777" w:rsidR="00034DE5" w:rsidRPr="00746025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746025">
        <w:rPr>
          <w:rFonts w:ascii="Arial" w:hAnsi="Arial" w:cs="Arial"/>
          <w:color w:val="0000FF"/>
          <w:sz w:val="20"/>
        </w:rPr>
        <w:t xml:space="preserve">Template for any proposal </w:t>
      </w:r>
      <w:r w:rsidR="00D62298">
        <w:rPr>
          <w:rFonts w:ascii="Arial" w:hAnsi="Arial" w:cs="Arial"/>
          <w:color w:val="0000FF"/>
          <w:sz w:val="20"/>
        </w:rPr>
        <w:t xml:space="preserve">regarding </w:t>
      </w:r>
      <w:r w:rsidR="00DE1FCF">
        <w:rPr>
          <w:rFonts w:ascii="Arial" w:hAnsi="Arial" w:cs="Arial"/>
          <w:color w:val="0000FF"/>
          <w:sz w:val="20"/>
        </w:rPr>
        <w:t xml:space="preserve">ICTV </w:t>
      </w:r>
      <w:r w:rsidR="00D62298">
        <w:rPr>
          <w:rFonts w:ascii="Arial" w:hAnsi="Arial" w:cs="Arial"/>
          <w:color w:val="0000FF"/>
          <w:sz w:val="20"/>
        </w:rPr>
        <w:t xml:space="preserve">procedures, rules or </w:t>
      </w:r>
      <w:r w:rsidR="00DE1FCF">
        <w:rPr>
          <w:rFonts w:ascii="Arial" w:hAnsi="Arial" w:cs="Arial"/>
          <w:color w:val="0000FF"/>
          <w:sz w:val="20"/>
        </w:rPr>
        <w:t>policy,</w:t>
      </w:r>
      <w:r w:rsidR="00D62298">
        <w:rPr>
          <w:rFonts w:ascii="Arial" w:hAnsi="Arial" w:cs="Arial"/>
          <w:color w:val="0000FF"/>
          <w:sz w:val="20"/>
        </w:rPr>
        <w:t xml:space="preserve"> </w:t>
      </w:r>
      <w:r w:rsidR="00DE1FCF" w:rsidRPr="00DE1FCF">
        <w:rPr>
          <w:rFonts w:ascii="Arial" w:hAnsi="Arial" w:cs="Arial"/>
          <w:color w:val="0000FF"/>
          <w:sz w:val="20"/>
          <w:u w:val="single"/>
        </w:rPr>
        <w:t>not</w:t>
      </w:r>
      <w:r w:rsidR="00DE1FCF">
        <w:rPr>
          <w:rFonts w:ascii="Arial" w:hAnsi="Arial" w:cs="Arial"/>
          <w:color w:val="0000FF"/>
          <w:sz w:val="20"/>
        </w:rPr>
        <w:t xml:space="preserve"> </w:t>
      </w:r>
      <w:r w:rsidR="00D62298">
        <w:rPr>
          <w:rFonts w:ascii="Arial" w:hAnsi="Arial" w:cs="Arial"/>
          <w:color w:val="0000FF"/>
          <w:sz w:val="20"/>
        </w:rPr>
        <w:t xml:space="preserve">involving </w:t>
      </w:r>
      <w:r w:rsidR="00DE1FCF">
        <w:rPr>
          <w:rFonts w:ascii="Arial" w:hAnsi="Arial" w:cs="Arial"/>
          <w:color w:val="0000FF"/>
          <w:sz w:val="20"/>
        </w:rPr>
        <w:t>the creation of new taxonomy</w:t>
      </w:r>
      <w:r w:rsidR="005F4309">
        <w:rPr>
          <w:rFonts w:ascii="Arial" w:hAnsi="Arial" w:cs="Arial"/>
          <w:color w:val="0000FF"/>
          <w:sz w:val="20"/>
        </w:rPr>
        <w:t xml:space="preserve">. </w:t>
      </w:r>
    </w:p>
    <w:p w14:paraId="3A72A100" w14:textId="77777777" w:rsidR="00034DE5" w:rsidRDefault="00034DE5" w:rsidP="00034DE5">
      <w:pPr>
        <w:pStyle w:val="BodyTextIndent"/>
        <w:ind w:left="0" w:firstLine="0"/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034DE5" w:rsidRPr="003E2830" w14:paraId="77A3ED8A" w14:textId="77777777">
        <w:tc>
          <w:tcPr>
            <w:tcW w:w="9468" w:type="dxa"/>
            <w:tcBorders>
              <w:top w:val="nil"/>
              <w:left w:val="nil"/>
              <w:right w:val="nil"/>
            </w:tcBorders>
            <w:vAlign w:val="center"/>
          </w:tcPr>
          <w:p w14:paraId="5A9740F5" w14:textId="77777777" w:rsidR="00034DE5" w:rsidRPr="00DD00F3" w:rsidRDefault="00034DE5" w:rsidP="00A11ACF">
            <w:pPr>
              <w:pStyle w:val="BodyTextIndent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999999"/>
              </w:rPr>
              <w:t>non-standard proposal</w:t>
            </w:r>
          </w:p>
        </w:tc>
      </w:tr>
      <w:tr w:rsidR="00034DE5" w:rsidRPr="001E492D" w14:paraId="3B236AAB" w14:textId="77777777">
        <w:tc>
          <w:tcPr>
            <w:tcW w:w="9468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6DCAE9B" w14:textId="77777777" w:rsidR="00034DE5" w:rsidRPr="001E492D" w:rsidRDefault="00034DE5" w:rsidP="00DE3E25">
            <w:pPr>
              <w:spacing w:before="120" w:after="120"/>
              <w:rPr>
                <w:b/>
              </w:rPr>
            </w:pPr>
            <w:r>
              <w:rPr>
                <w:b/>
              </w:rPr>
              <w:t>Title of proposal</w:t>
            </w:r>
            <w:r w:rsidRPr="001E492D">
              <w:rPr>
                <w:b/>
              </w:rPr>
              <w:t xml:space="preserve">: </w:t>
            </w:r>
          </w:p>
        </w:tc>
      </w:tr>
      <w:tr w:rsidR="00034DE5" w:rsidRPr="001E492D" w14:paraId="56015742" w14:textId="7777777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blHeader/>
        </w:trPr>
        <w:tc>
          <w:tcPr>
            <w:tcW w:w="9468" w:type="dxa"/>
          </w:tcPr>
          <w:p w14:paraId="58BFED59" w14:textId="77777777" w:rsidR="00034DE5" w:rsidRPr="001E492D" w:rsidRDefault="00034DE5" w:rsidP="00A11ACF">
            <w:pPr>
              <w:spacing w:before="120" w:after="120"/>
              <w:rPr>
                <w:b/>
              </w:rPr>
            </w:pPr>
            <w:r>
              <w:rPr>
                <w:b/>
              </w:rPr>
              <w:t>Text of proposal</w:t>
            </w:r>
            <w:r w:rsidRPr="001E492D">
              <w:rPr>
                <w:b/>
              </w:rPr>
              <w:t>:</w:t>
            </w:r>
          </w:p>
        </w:tc>
      </w:tr>
      <w:tr w:rsidR="00034DE5" w:rsidRPr="001E492D" w14:paraId="3F663FDE" w14:textId="77777777" w:rsidTr="004F23E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7D5659" w14:textId="77777777" w:rsidR="00024051" w:rsidRPr="00250CCD" w:rsidRDefault="00024051" w:rsidP="00250CCD">
            <w:pPr>
              <w:spacing w:line="360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14:paraId="50ACEF94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156FE8FE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14A2527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14800A95" w14:textId="77777777" w:rsidR="00AC0E72" w:rsidRDefault="006B2EE7" w:rsidP="006C4A0C">
      <w:pPr>
        <w:pStyle w:val="BodyTextIndent"/>
        <w:ind w:left="0" w:firstLine="0"/>
      </w:pPr>
      <w:r w:rsidRPr="006B2EE7">
        <w:rPr>
          <w:rFonts w:ascii="Arial" w:hAnsi="Arial" w:cs="Arial"/>
          <w:b/>
          <w:color w:val="000000"/>
          <w:sz w:val="20"/>
        </w:rPr>
        <w:t>Part</w:t>
      </w:r>
      <w:r w:rsidR="00AC0E72" w:rsidRPr="006B2EE7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44774D" w:rsidRPr="006B2EE7">
        <w:rPr>
          <w:rFonts w:ascii="Arial" w:hAnsi="Arial" w:cs="Arial"/>
          <w:b/>
          <w:color w:val="000000"/>
          <w:sz w:val="22"/>
          <w:szCs w:val="22"/>
        </w:rPr>
        <w:t>4</w:t>
      </w:r>
      <w:r w:rsidR="00AC0E72" w:rsidRPr="006B2EE7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830785">
        <w:rPr>
          <w:rFonts w:ascii="Arial" w:hAnsi="Arial" w:cs="Arial"/>
          <w:color w:val="000000"/>
          <w:sz w:val="22"/>
          <w:szCs w:val="22"/>
        </w:rPr>
        <w:t xml:space="preserve"> </w:t>
      </w:r>
      <w:r w:rsidR="008071B6">
        <w:rPr>
          <w:rFonts w:ascii="Arial" w:hAnsi="Arial" w:cs="Arial"/>
          <w:b/>
          <w:color w:val="000000"/>
          <w:sz w:val="22"/>
          <w:szCs w:val="22"/>
          <w:u w:val="single"/>
        </w:rPr>
        <w:t>APPENDIX</w:t>
      </w:r>
      <w:r w:rsidR="008071B6" w:rsidRPr="008071B6">
        <w:rPr>
          <w:rFonts w:ascii="Arial" w:hAnsi="Arial" w:cs="Arial"/>
          <w:color w:val="000000"/>
          <w:sz w:val="22"/>
          <w:szCs w:val="22"/>
        </w:rPr>
        <w:t>: supporting material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071B6" w:rsidRPr="001E492D" w14:paraId="431BB697" w14:textId="77777777">
        <w:trPr>
          <w:tblHeader/>
        </w:trPr>
        <w:tc>
          <w:tcPr>
            <w:tcW w:w="9228" w:type="dxa"/>
          </w:tcPr>
          <w:p w14:paraId="0F22BF90" w14:textId="77777777" w:rsidR="008071B6" w:rsidRPr="008071B6" w:rsidRDefault="008071B6" w:rsidP="00A11ACF">
            <w:pPr>
              <w:spacing w:after="120"/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4C7F4807" w14:textId="77777777" w:rsidTr="001E59C1">
        <w:trPr>
          <w:trHeight w:val="1566"/>
        </w:trPr>
        <w:tc>
          <w:tcPr>
            <w:tcW w:w="9228" w:type="dxa"/>
          </w:tcPr>
          <w:p w14:paraId="1D30A29E" w14:textId="77777777" w:rsidR="00AC0E72" w:rsidRDefault="00AC0E72" w:rsidP="00D2300C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>
              <w:rPr>
                <w:b/>
              </w:rPr>
              <w:t>Annex</w:t>
            </w:r>
            <w:r w:rsidRPr="001E492D">
              <w:rPr>
                <w:b/>
              </w:rPr>
              <w:t>:</w:t>
            </w:r>
            <w:r w:rsidRPr="0026788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6DDB480F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10685E4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0EF5F3A9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C91456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3C20644C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41B49652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47F7920B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7FAA8A0E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49FB01A5" w14:textId="77777777" w:rsidR="00991A82" w:rsidRDefault="00991A82" w:rsidP="00AC0E72">
      <w:pPr>
        <w:rPr>
          <w:lang w:val="en-GB"/>
        </w:rPr>
        <w:sectPr w:rsidR="00991A82" w:rsidSect="00991A82">
          <w:headerReference w:type="default" r:id="rId9"/>
          <w:footerReference w:type="default" r:id="rId10"/>
          <w:pgSz w:w="11909" w:h="16834" w:code="9"/>
          <w:pgMar w:top="1296" w:right="1008" w:bottom="1440" w:left="1440" w:header="706" w:footer="706" w:gutter="0"/>
          <w:cols w:space="708"/>
          <w:docGrid w:linePitch="360"/>
        </w:sectPr>
      </w:pPr>
    </w:p>
    <w:p w14:paraId="2FECE068" w14:textId="31FA7365" w:rsidR="00E9547F" w:rsidRPr="00BF7EF6" w:rsidRDefault="00E9547F" w:rsidP="00144836">
      <w:pPr>
        <w:widowControl w:val="0"/>
        <w:spacing w:line="360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BF7EF6">
        <w:rPr>
          <w:rFonts w:ascii="Arial" w:hAnsi="Arial" w:cs="Arial"/>
          <w:color w:val="000000"/>
          <w:sz w:val="22"/>
          <w:szCs w:val="22"/>
        </w:rPr>
        <w:t xml:space="preserve">Following a typical metagenomic pipeline using </w:t>
      </w:r>
      <w:r w:rsidR="00EC721F" w:rsidRPr="00BF7EF6">
        <w:rPr>
          <w:rFonts w:ascii="Arial" w:hAnsi="Arial" w:cs="Arial"/>
          <w:color w:val="000000"/>
          <w:sz w:val="22"/>
          <w:szCs w:val="22"/>
        </w:rPr>
        <w:t>high-throughput sequencing (HTS)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 </w:t>
      </w:r>
      <w:r w:rsidR="00842B58" w:rsidRPr="00BF7EF6">
        <w:rPr>
          <w:rFonts w:ascii="Arial" w:hAnsi="Arial" w:cs="Arial"/>
          <w:color w:val="000000"/>
          <w:sz w:val="22"/>
          <w:szCs w:val="22"/>
        </w:rPr>
        <w:t>we identified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 a new putative </w:t>
      </w:r>
      <w:r w:rsidRPr="00BF7EF6">
        <w:rPr>
          <w:rFonts w:ascii="Arial" w:hAnsi="Arial" w:cs="Arial"/>
          <w:i/>
          <w:color w:val="000000"/>
          <w:sz w:val="22"/>
          <w:szCs w:val="22"/>
        </w:rPr>
        <w:t xml:space="preserve">Enamovirus </w:t>
      </w:r>
      <w:r w:rsidRPr="00BF7EF6">
        <w:rPr>
          <w:rFonts w:ascii="Arial" w:hAnsi="Arial" w:cs="Arial"/>
          <w:color w:val="000000"/>
          <w:sz w:val="22"/>
          <w:szCs w:val="22"/>
        </w:rPr>
        <w:t>member, tentati</w:t>
      </w:r>
      <w:r w:rsidR="00842B58" w:rsidRPr="00BF7EF6">
        <w:rPr>
          <w:rFonts w:ascii="Arial" w:hAnsi="Arial" w:cs="Arial"/>
          <w:color w:val="000000"/>
          <w:sz w:val="22"/>
          <w:szCs w:val="22"/>
        </w:rPr>
        <w:t>vely named Grapevine enamovirus 1 (GEV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1), infecting distinct grapevine cultivars in Brazil. The family </w:t>
      </w:r>
      <w:r w:rsidRPr="00BF7EF6">
        <w:rPr>
          <w:rFonts w:ascii="Arial" w:hAnsi="Arial" w:cs="Arial"/>
          <w:i/>
          <w:color w:val="000000"/>
          <w:sz w:val="22"/>
          <w:szCs w:val="22"/>
        </w:rPr>
        <w:t>Luteoviridae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 comprises three genera, </w:t>
      </w:r>
      <w:r w:rsidRPr="00BF7EF6">
        <w:rPr>
          <w:rFonts w:ascii="Arial" w:hAnsi="Arial" w:cs="Arial"/>
          <w:i/>
          <w:color w:val="000000"/>
          <w:sz w:val="22"/>
          <w:szCs w:val="22"/>
        </w:rPr>
        <w:t>Luteovirus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, </w:t>
      </w:r>
      <w:r w:rsidRPr="00BF7EF6">
        <w:rPr>
          <w:rFonts w:ascii="Arial" w:hAnsi="Arial" w:cs="Arial"/>
          <w:i/>
          <w:color w:val="000000"/>
          <w:sz w:val="22"/>
          <w:szCs w:val="22"/>
        </w:rPr>
        <w:t>Polerovirus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 and </w:t>
      </w:r>
      <w:r w:rsidRPr="00BF7EF6">
        <w:rPr>
          <w:rFonts w:ascii="Arial" w:hAnsi="Arial" w:cs="Arial"/>
          <w:i/>
          <w:color w:val="000000"/>
          <w:sz w:val="22"/>
          <w:szCs w:val="22"/>
        </w:rPr>
        <w:t>Enamovirus</w:t>
      </w:r>
      <w:r w:rsidRPr="00BF7EF6">
        <w:rPr>
          <w:rFonts w:ascii="Arial" w:hAnsi="Arial" w:cs="Arial"/>
          <w:color w:val="000000"/>
          <w:sz w:val="22"/>
          <w:szCs w:val="22"/>
        </w:rPr>
        <w:t>. These viruses have a positive-sense RNA genome of around 5.2 to 6.3 kb. The genus</w:t>
      </w:r>
      <w:r w:rsidRPr="00BF7EF6">
        <w:rPr>
          <w:rFonts w:ascii="Arial" w:hAnsi="Arial" w:cs="Arial"/>
          <w:i/>
          <w:color w:val="000000"/>
          <w:sz w:val="22"/>
          <w:szCs w:val="22"/>
        </w:rPr>
        <w:t xml:space="preserve"> Enamovirus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 has only </w:t>
      </w:r>
      <w:r w:rsidR="00720E30" w:rsidRPr="00BF7EF6">
        <w:rPr>
          <w:rFonts w:ascii="Arial" w:hAnsi="Arial" w:cs="Arial"/>
          <w:color w:val="000000"/>
          <w:sz w:val="22"/>
          <w:szCs w:val="22"/>
        </w:rPr>
        <w:t>two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 viral species</w:t>
      </w:r>
      <w:r w:rsidR="00720E30" w:rsidRPr="00BF7EF6">
        <w:rPr>
          <w:rFonts w:ascii="Arial" w:hAnsi="Arial" w:cs="Arial"/>
          <w:color w:val="000000"/>
          <w:sz w:val="22"/>
          <w:szCs w:val="22"/>
        </w:rPr>
        <w:t xml:space="preserve"> recognized by the </w:t>
      </w:r>
      <w:proofErr w:type="gramStart"/>
      <w:r w:rsidR="00720E30" w:rsidRPr="00BF7EF6">
        <w:rPr>
          <w:rFonts w:ascii="Arial" w:hAnsi="Arial" w:cs="Arial"/>
          <w:color w:val="000000"/>
          <w:sz w:val="22"/>
          <w:szCs w:val="22"/>
        </w:rPr>
        <w:t>ICTV</w:t>
      </w:r>
      <w:r w:rsidRPr="00BF7EF6">
        <w:rPr>
          <w:rFonts w:ascii="Arial" w:hAnsi="Arial" w:cs="Arial"/>
          <w:color w:val="000000"/>
          <w:sz w:val="22"/>
          <w:szCs w:val="22"/>
        </w:rPr>
        <w:t>,</w:t>
      </w:r>
      <w:r w:rsidR="00720E30" w:rsidRPr="00BF7EF6">
        <w:rPr>
          <w:rFonts w:ascii="Arial" w:hAnsi="Arial" w:cs="Arial"/>
          <w:color w:val="000000"/>
          <w:sz w:val="22"/>
          <w:szCs w:val="22"/>
        </w:rPr>
        <w:t xml:space="preserve"> 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 </w:t>
      </w:r>
      <w:r w:rsidR="00720E30" w:rsidRPr="00BF7EF6">
        <w:rPr>
          <w:rFonts w:ascii="Arial" w:hAnsi="Arial" w:cs="Arial"/>
          <w:i/>
          <w:color w:val="000000"/>
          <w:sz w:val="22"/>
          <w:szCs w:val="22"/>
        </w:rPr>
        <w:t>Pea</w:t>
      </w:r>
      <w:proofErr w:type="gramEnd"/>
      <w:r w:rsidR="00720E30" w:rsidRPr="00BF7EF6">
        <w:rPr>
          <w:rFonts w:ascii="Arial" w:hAnsi="Arial" w:cs="Arial"/>
          <w:i/>
          <w:color w:val="000000"/>
          <w:sz w:val="22"/>
          <w:szCs w:val="22"/>
        </w:rPr>
        <w:t xml:space="preserve"> enation mosaic virus </w:t>
      </w:r>
      <w:r w:rsidRPr="00BF7EF6">
        <w:rPr>
          <w:rFonts w:ascii="Arial" w:hAnsi="Arial" w:cs="Arial"/>
          <w:i/>
          <w:color w:val="000000"/>
          <w:sz w:val="22"/>
          <w:szCs w:val="22"/>
        </w:rPr>
        <w:t>1</w:t>
      </w:r>
      <w:r w:rsidR="00720E30" w:rsidRPr="00BF7EF6">
        <w:rPr>
          <w:rFonts w:ascii="Arial" w:hAnsi="Arial" w:cs="Arial"/>
          <w:color w:val="000000"/>
          <w:sz w:val="22"/>
          <w:szCs w:val="22"/>
        </w:rPr>
        <w:t xml:space="preserve"> (PEMV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1) and </w:t>
      </w:r>
      <w:r w:rsidR="00BF7EF6">
        <w:rPr>
          <w:rFonts w:ascii="Arial" w:hAnsi="Arial" w:cs="Arial"/>
          <w:i/>
          <w:color w:val="000000"/>
          <w:sz w:val="22"/>
          <w:szCs w:val="22"/>
        </w:rPr>
        <w:t xml:space="preserve">Alfalfa enamovirus </w:t>
      </w:r>
      <w:r w:rsidRPr="00BF7EF6">
        <w:rPr>
          <w:rFonts w:ascii="Arial" w:hAnsi="Arial" w:cs="Arial"/>
          <w:i/>
          <w:color w:val="000000"/>
          <w:sz w:val="22"/>
          <w:szCs w:val="22"/>
        </w:rPr>
        <w:t>1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 (AEV1). </w:t>
      </w:r>
      <w:r w:rsidR="00720E30" w:rsidRPr="00BF7EF6">
        <w:rPr>
          <w:rFonts w:ascii="Arial" w:hAnsi="Arial" w:cs="Arial"/>
          <w:color w:val="000000"/>
          <w:sz w:val="22"/>
          <w:szCs w:val="22"/>
        </w:rPr>
        <w:t>Citrus vein enation virus (CVEV) is a putative enamovirus. The systemic movement of PEMV</w:t>
      </w:r>
      <w:r w:rsidRPr="00BF7EF6">
        <w:rPr>
          <w:rFonts w:ascii="Arial" w:hAnsi="Arial" w:cs="Arial"/>
          <w:color w:val="000000"/>
          <w:sz w:val="22"/>
          <w:szCs w:val="22"/>
        </w:rPr>
        <w:t>1, type species of the genus</w:t>
      </w:r>
      <w:r w:rsidRPr="00BF7EF6">
        <w:rPr>
          <w:rFonts w:ascii="Arial" w:hAnsi="Arial" w:cs="Arial"/>
          <w:i/>
          <w:color w:val="000000"/>
          <w:sz w:val="22"/>
          <w:szCs w:val="22"/>
        </w:rPr>
        <w:t xml:space="preserve"> Enamovirus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, is </w:t>
      </w:r>
      <w:r w:rsidR="00720E30" w:rsidRPr="00BF7EF6">
        <w:rPr>
          <w:rFonts w:ascii="Arial" w:hAnsi="Arial" w:cs="Arial"/>
          <w:color w:val="000000"/>
          <w:sz w:val="22"/>
          <w:szCs w:val="22"/>
        </w:rPr>
        <w:t>provided by a co-infecting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 umbravirus, </w:t>
      </w:r>
      <w:r w:rsidR="00720E30" w:rsidRPr="00BF7EF6">
        <w:rPr>
          <w:rFonts w:ascii="Arial" w:hAnsi="Arial" w:cs="Arial"/>
          <w:color w:val="000000"/>
          <w:sz w:val="22"/>
          <w:szCs w:val="22"/>
        </w:rPr>
        <w:t xml:space="preserve">PEMV2, 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although </w:t>
      </w:r>
      <w:r w:rsidR="00720E30" w:rsidRPr="00BF7EF6">
        <w:rPr>
          <w:rFonts w:ascii="Arial" w:hAnsi="Arial" w:cs="Arial"/>
          <w:color w:val="000000"/>
          <w:sz w:val="22"/>
          <w:szCs w:val="22"/>
        </w:rPr>
        <w:t>co-infecting umbraviruses have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 not been reported for </w:t>
      </w:r>
      <w:r w:rsidR="00720E30" w:rsidRPr="00BF7EF6">
        <w:rPr>
          <w:rFonts w:ascii="Arial" w:hAnsi="Arial" w:cs="Arial"/>
          <w:color w:val="000000"/>
          <w:sz w:val="22"/>
          <w:szCs w:val="22"/>
        </w:rPr>
        <w:t>AEV1 or CVEV</w:t>
      </w:r>
      <w:r w:rsidRPr="00BF7EF6">
        <w:rPr>
          <w:rFonts w:ascii="Arial" w:hAnsi="Arial" w:cs="Arial"/>
          <w:color w:val="000000"/>
          <w:sz w:val="22"/>
          <w:szCs w:val="22"/>
        </w:rPr>
        <w:t>. Viruses in the family</w:t>
      </w:r>
      <w:r w:rsidRPr="00BF7EF6">
        <w:rPr>
          <w:rFonts w:ascii="Arial" w:hAnsi="Arial" w:cs="Arial"/>
          <w:i/>
          <w:color w:val="000000"/>
          <w:sz w:val="22"/>
          <w:szCs w:val="22"/>
        </w:rPr>
        <w:t xml:space="preserve"> Luteoviridae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 are transmitted</w:t>
      </w:r>
      <w:r w:rsidR="00720E30" w:rsidRPr="00BF7EF6">
        <w:rPr>
          <w:rFonts w:ascii="Arial" w:hAnsi="Arial" w:cs="Arial"/>
          <w:color w:val="000000"/>
          <w:sz w:val="22"/>
          <w:szCs w:val="22"/>
        </w:rPr>
        <w:t xml:space="preserve"> by aphids in a circulative 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persistent manner. </w:t>
      </w:r>
    </w:p>
    <w:p w14:paraId="2D69D10C" w14:textId="6934FFA2" w:rsidR="00E9547F" w:rsidRPr="00BF7EF6" w:rsidRDefault="00E9547F" w:rsidP="003972A3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F7EF6">
        <w:rPr>
          <w:rFonts w:ascii="Arial" w:hAnsi="Arial" w:cs="Arial"/>
          <w:color w:val="FF0000"/>
          <w:sz w:val="22"/>
          <w:szCs w:val="22"/>
        </w:rPr>
        <w:tab/>
      </w:r>
      <w:r w:rsidR="00135698" w:rsidRPr="00BF7EF6">
        <w:rPr>
          <w:rFonts w:ascii="Arial" w:hAnsi="Arial" w:cs="Arial"/>
          <w:color w:val="000000"/>
          <w:sz w:val="22"/>
          <w:szCs w:val="22"/>
        </w:rPr>
        <w:t>The near complete genome of GEV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1 isolate CS-BR (6227 bp), lacking only part of the 3’ untranslated </w:t>
      </w:r>
      <w:r w:rsidR="00BF7EF6">
        <w:rPr>
          <w:rFonts w:ascii="Arial" w:hAnsi="Arial" w:cs="Arial"/>
          <w:color w:val="000000"/>
          <w:sz w:val="22"/>
          <w:szCs w:val="22"/>
        </w:rPr>
        <w:t>region</w:t>
      </w:r>
      <w:r w:rsidRPr="00BF7EF6">
        <w:rPr>
          <w:rFonts w:ascii="Arial" w:hAnsi="Arial" w:cs="Arial"/>
          <w:color w:val="000000"/>
          <w:sz w:val="22"/>
          <w:szCs w:val="22"/>
        </w:rPr>
        <w:t>, was deposited in GenBank under accession</w:t>
      </w:r>
      <w:r w:rsidR="00BF7EF6">
        <w:rPr>
          <w:rFonts w:ascii="Arial" w:hAnsi="Arial" w:cs="Arial"/>
          <w:color w:val="000000"/>
          <w:sz w:val="22"/>
          <w:szCs w:val="22"/>
        </w:rPr>
        <w:t xml:space="preserve"> number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 KX645875. The </w:t>
      </w:r>
      <w:r w:rsidR="00BF7EF6" w:rsidRPr="00BF7EF6">
        <w:rPr>
          <w:rFonts w:ascii="Arial" w:hAnsi="Arial" w:cs="Arial"/>
          <w:color w:val="000000"/>
          <w:sz w:val="22"/>
          <w:szCs w:val="22"/>
        </w:rPr>
        <w:t>near complete sequence (6176 bp)</w:t>
      </w:r>
      <w:r w:rsidR="00BF7EF6">
        <w:rPr>
          <w:rFonts w:ascii="Arial" w:hAnsi="Arial" w:cs="Arial"/>
          <w:color w:val="000000"/>
          <w:sz w:val="22"/>
          <w:szCs w:val="22"/>
        </w:rPr>
        <w:t xml:space="preserve"> of 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isolate SE-BR, obtained by </w:t>
      </w:r>
      <w:r w:rsidRPr="00BF7EF6">
        <w:rPr>
          <w:rFonts w:ascii="Arial" w:hAnsi="Arial" w:cs="Arial"/>
          <w:i/>
          <w:color w:val="000000"/>
          <w:sz w:val="22"/>
          <w:szCs w:val="22"/>
        </w:rPr>
        <w:t>de novo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 assembly, was deposited in GenBank under accession KY820716</w:t>
      </w:r>
      <w:r w:rsidR="00377AE5" w:rsidRPr="00BF7EF6">
        <w:rPr>
          <w:rFonts w:ascii="Arial" w:hAnsi="Arial" w:cs="Arial"/>
          <w:color w:val="000000"/>
          <w:sz w:val="22"/>
          <w:szCs w:val="22"/>
        </w:rPr>
        <w:t xml:space="preserve"> (</w:t>
      </w:r>
      <w:r w:rsidR="00377AE5" w:rsidRPr="00BF7EF6">
        <w:rPr>
          <w:rFonts w:ascii="Arial" w:hAnsi="Arial" w:cs="Arial"/>
          <w:sz w:val="22"/>
          <w:szCs w:val="22"/>
        </w:rPr>
        <w:t>NC_034836)</w:t>
      </w:r>
      <w:r w:rsidRPr="00BF7EF6">
        <w:rPr>
          <w:rFonts w:ascii="Arial" w:hAnsi="Arial" w:cs="Arial"/>
          <w:color w:val="000000"/>
          <w:sz w:val="22"/>
          <w:szCs w:val="22"/>
        </w:rPr>
        <w:t>.</w:t>
      </w:r>
    </w:p>
    <w:p w14:paraId="4F8575FA" w14:textId="2A9B6638" w:rsidR="00E9547F" w:rsidRPr="00BF7EF6" w:rsidRDefault="00E9547F" w:rsidP="00E9547F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F7EF6">
        <w:rPr>
          <w:rFonts w:ascii="Arial" w:hAnsi="Arial" w:cs="Arial"/>
          <w:color w:val="000000"/>
          <w:sz w:val="22"/>
          <w:szCs w:val="22"/>
        </w:rPr>
        <w:lastRenderedPageBreak/>
        <w:tab/>
        <w:t xml:space="preserve">Luteovirids are known to harbor </w:t>
      </w:r>
      <w:r w:rsidR="00135698" w:rsidRPr="00BF7EF6">
        <w:rPr>
          <w:rFonts w:ascii="Arial" w:hAnsi="Arial" w:cs="Arial"/>
          <w:color w:val="000000"/>
          <w:sz w:val="22"/>
          <w:szCs w:val="22"/>
        </w:rPr>
        <w:t xml:space="preserve">seven </w:t>
      </w:r>
      <w:r w:rsidRPr="00BF7EF6">
        <w:rPr>
          <w:rFonts w:ascii="Arial" w:hAnsi="Arial" w:cs="Arial"/>
          <w:color w:val="000000"/>
          <w:sz w:val="22"/>
          <w:szCs w:val="22"/>
        </w:rPr>
        <w:t>open reading frames (ORFs) usually displayed as two gene</w:t>
      </w:r>
      <w:r w:rsidR="00135698" w:rsidRPr="00BF7EF6">
        <w:rPr>
          <w:rFonts w:ascii="Arial" w:hAnsi="Arial" w:cs="Arial"/>
          <w:color w:val="000000"/>
          <w:sz w:val="22"/>
          <w:szCs w:val="22"/>
        </w:rPr>
        <w:t xml:space="preserve"> blocks separated by a non</w:t>
      </w:r>
      <w:r w:rsidRPr="00BF7EF6">
        <w:rPr>
          <w:rFonts w:ascii="Arial" w:hAnsi="Arial" w:cs="Arial"/>
          <w:color w:val="000000"/>
          <w:sz w:val="22"/>
          <w:szCs w:val="22"/>
        </w:rPr>
        <w:t>coding intergenic region. The 5’-proximal block contains two partially overlapping ORFs 1 and 2, plus an additional ORF encoding a silencing suppressor protein (ORF 0) in the genera</w:t>
      </w:r>
      <w:r w:rsidRPr="00BF7EF6">
        <w:rPr>
          <w:rFonts w:ascii="Arial" w:hAnsi="Arial" w:cs="Arial"/>
          <w:i/>
          <w:color w:val="000000"/>
          <w:sz w:val="22"/>
          <w:szCs w:val="22"/>
        </w:rPr>
        <w:t xml:space="preserve"> Enamovirus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 and </w:t>
      </w:r>
      <w:r w:rsidRPr="00BF7EF6">
        <w:rPr>
          <w:rFonts w:ascii="Arial" w:hAnsi="Arial" w:cs="Arial"/>
          <w:i/>
          <w:color w:val="000000"/>
          <w:sz w:val="22"/>
          <w:szCs w:val="22"/>
        </w:rPr>
        <w:t>Polerovirus</w:t>
      </w:r>
      <w:r w:rsidRPr="00BF7EF6">
        <w:rPr>
          <w:rFonts w:ascii="Arial" w:hAnsi="Arial" w:cs="Arial"/>
          <w:color w:val="000000"/>
          <w:sz w:val="22"/>
          <w:szCs w:val="22"/>
        </w:rPr>
        <w:t>. The 3’-proximal gene block contains the ORFs corresponding to the coat protein (ORF 3), an extension of the coat protein translated by an in-frame stop codon readthrough (ORF 5) and a movement protein (ORF 4) located within ORF 3 in the</w:t>
      </w:r>
      <w:r w:rsidRPr="00BF7EF6"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genera </w:t>
      </w:r>
      <w:r w:rsidRPr="00BF7EF6">
        <w:rPr>
          <w:rFonts w:ascii="Arial" w:hAnsi="Arial" w:cs="Arial"/>
          <w:i/>
          <w:color w:val="000000"/>
          <w:sz w:val="22"/>
          <w:szCs w:val="22"/>
        </w:rPr>
        <w:t>Luteovirus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 and </w:t>
      </w:r>
      <w:r w:rsidRPr="00BF7EF6">
        <w:rPr>
          <w:rFonts w:ascii="Arial" w:hAnsi="Arial" w:cs="Arial"/>
          <w:i/>
          <w:color w:val="000000"/>
          <w:sz w:val="22"/>
          <w:szCs w:val="22"/>
        </w:rPr>
        <w:t xml:space="preserve">Polerovirus </w:t>
      </w:r>
      <w:r w:rsidRPr="00BF7EF6">
        <w:rPr>
          <w:rFonts w:ascii="Arial" w:hAnsi="Arial" w:cs="Arial"/>
          <w:color w:val="000000"/>
          <w:sz w:val="22"/>
          <w:szCs w:val="22"/>
        </w:rPr>
        <w:t>that is absent in the genus</w:t>
      </w:r>
      <w:r w:rsidRPr="00BF7EF6">
        <w:rPr>
          <w:rFonts w:ascii="Arial" w:hAnsi="Arial" w:cs="Arial"/>
          <w:i/>
          <w:color w:val="000000"/>
          <w:sz w:val="22"/>
          <w:szCs w:val="22"/>
        </w:rPr>
        <w:t xml:space="preserve"> Enamovirus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gramStart"/>
      <w:r w:rsidR="00135698" w:rsidRPr="00BF7EF6">
        <w:rPr>
          <w:rFonts w:ascii="Arial" w:hAnsi="Arial" w:cs="Arial"/>
          <w:color w:val="000000"/>
          <w:sz w:val="22"/>
          <w:szCs w:val="22"/>
        </w:rPr>
        <w:t>Also</w:t>
      </w:r>
      <w:proofErr w:type="gramEnd"/>
      <w:r w:rsidR="00135698" w:rsidRPr="00BF7EF6">
        <w:rPr>
          <w:rFonts w:ascii="Arial" w:hAnsi="Arial" w:cs="Arial"/>
          <w:color w:val="000000"/>
          <w:sz w:val="22"/>
          <w:szCs w:val="22"/>
        </w:rPr>
        <w:t xml:space="preserve"> luteo- and poleroviruses, but not enamoviruses</w:t>
      </w:r>
      <w:r w:rsidR="00BF7EF6">
        <w:rPr>
          <w:rFonts w:ascii="Arial" w:hAnsi="Arial" w:cs="Arial"/>
          <w:color w:val="000000"/>
          <w:sz w:val="22"/>
          <w:szCs w:val="22"/>
        </w:rPr>
        <w:t>,</w:t>
      </w:r>
      <w:r w:rsidR="00135698" w:rsidRPr="00BF7EF6">
        <w:rPr>
          <w:rFonts w:ascii="Arial" w:hAnsi="Arial" w:cs="Arial"/>
          <w:color w:val="000000"/>
          <w:sz w:val="22"/>
          <w:szCs w:val="22"/>
        </w:rPr>
        <w:t xml:space="preserve"> encode a short (&lt;50 codon) ORF 3a, upstream of ORFs 3 and 4 that starts with a non-AUG codon and terminates between the start codons of ORFs 3 and 4, in the third reading frame. </w:t>
      </w:r>
      <w:r w:rsidRPr="00BF7EF6">
        <w:rPr>
          <w:rFonts w:ascii="Arial" w:hAnsi="Arial" w:cs="Arial"/>
          <w:color w:val="000000"/>
          <w:sz w:val="22"/>
          <w:szCs w:val="22"/>
        </w:rPr>
        <w:t>ORFs 3, 4 and 5 are translated fro</w:t>
      </w:r>
      <w:r w:rsidR="00FD2097" w:rsidRPr="00BF7EF6">
        <w:rPr>
          <w:rFonts w:ascii="Arial" w:hAnsi="Arial" w:cs="Arial"/>
          <w:color w:val="000000"/>
          <w:sz w:val="22"/>
          <w:szCs w:val="22"/>
        </w:rPr>
        <w:t>m a subgenomic RNA (sgRNA). GEV</w:t>
      </w:r>
      <w:r w:rsidRPr="00BF7EF6">
        <w:rPr>
          <w:rFonts w:ascii="Arial" w:hAnsi="Arial" w:cs="Arial"/>
          <w:color w:val="000000"/>
          <w:sz w:val="22"/>
          <w:szCs w:val="22"/>
        </w:rPr>
        <w:t>1 genomic features (Fig</w:t>
      </w:r>
      <w:r w:rsidR="00BF7EF6">
        <w:rPr>
          <w:rFonts w:ascii="Arial" w:hAnsi="Arial" w:cs="Arial"/>
          <w:color w:val="000000"/>
          <w:sz w:val="22"/>
          <w:szCs w:val="22"/>
        </w:rPr>
        <w:t>ure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 1a) are discussed below.</w:t>
      </w:r>
    </w:p>
    <w:p w14:paraId="4E0BCFA3" w14:textId="3189B266" w:rsidR="00E9547F" w:rsidRPr="00BF7EF6" w:rsidRDefault="00BF7EF6" w:rsidP="00E9547F">
      <w:pPr>
        <w:spacing w:line="360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GEV1 </w:t>
      </w:r>
      <w:r w:rsidR="00E9547F" w:rsidRPr="00BF7EF6">
        <w:rPr>
          <w:rFonts w:ascii="Arial" w:hAnsi="Arial" w:cs="Arial"/>
          <w:color w:val="000000"/>
          <w:sz w:val="22"/>
          <w:szCs w:val="22"/>
        </w:rPr>
        <w:t xml:space="preserve">ORF 0 (nt 335-1279) overlaps ORF 1 and potentially encodes a 34.9 kDa protein (P0), presumably a suppressor of host RNAi machinery. The F-box-like domain </w:t>
      </w:r>
      <w:r>
        <w:rPr>
          <w:rFonts w:ascii="Arial" w:hAnsi="Arial" w:cs="Arial"/>
          <w:color w:val="000000"/>
          <w:sz w:val="22"/>
          <w:szCs w:val="22"/>
        </w:rPr>
        <w:t>[</w:t>
      </w:r>
      <w:r w:rsidR="00E9547F" w:rsidRPr="00BF7EF6">
        <w:rPr>
          <w:rFonts w:ascii="Arial" w:hAnsi="Arial" w:cs="Arial"/>
          <w:color w:val="000000"/>
          <w:sz w:val="22"/>
          <w:szCs w:val="22"/>
        </w:rPr>
        <w:t>LP</w:t>
      </w:r>
      <w:r>
        <w:rPr>
          <w:rFonts w:ascii="Arial" w:hAnsi="Arial" w:cs="Arial"/>
          <w:color w:val="000000"/>
          <w:sz w:val="22"/>
          <w:szCs w:val="22"/>
        </w:rPr>
        <w:t>XX</w:t>
      </w:r>
      <w:r w:rsidR="00E9547F" w:rsidRPr="00BF7EF6">
        <w:rPr>
          <w:rFonts w:ascii="Arial" w:hAnsi="Arial" w:cs="Arial"/>
          <w:color w:val="000000"/>
          <w:sz w:val="22"/>
          <w:szCs w:val="22"/>
        </w:rPr>
        <w:t>I/L(</w:t>
      </w:r>
      <w:r>
        <w:rPr>
          <w:rFonts w:ascii="Arial" w:hAnsi="Arial" w:cs="Arial"/>
          <w:color w:val="000000"/>
          <w:sz w:val="22"/>
          <w:szCs w:val="22"/>
        </w:rPr>
        <w:t>X</w:t>
      </w:r>
      <w:r w:rsidR="00E9547F" w:rsidRPr="00BF7EF6">
        <w:rPr>
          <w:rFonts w:ascii="Arial" w:hAnsi="Arial" w:cs="Arial"/>
          <w:color w:val="000000"/>
          <w:sz w:val="22"/>
          <w:szCs w:val="22"/>
          <w:vertAlign w:val="subscript"/>
        </w:rPr>
        <w:t>10-</w:t>
      </w:r>
      <w:proofErr w:type="gramStart"/>
      <w:r w:rsidR="00E9547F" w:rsidRPr="00BF7EF6">
        <w:rPr>
          <w:rFonts w:ascii="Arial" w:hAnsi="Arial" w:cs="Arial"/>
          <w:color w:val="000000"/>
          <w:sz w:val="22"/>
          <w:szCs w:val="22"/>
          <w:vertAlign w:val="subscript"/>
        </w:rPr>
        <w:t>13</w:t>
      </w:r>
      <w:r w:rsidR="00E9547F" w:rsidRPr="00BF7EF6">
        <w:rPr>
          <w:rFonts w:ascii="Arial" w:hAnsi="Arial" w:cs="Arial"/>
          <w:color w:val="000000"/>
          <w:sz w:val="22"/>
          <w:szCs w:val="22"/>
        </w:rPr>
        <w:t>)P</w:t>
      </w:r>
      <w:proofErr w:type="gramEnd"/>
      <w:r>
        <w:rPr>
          <w:rFonts w:ascii="Arial" w:hAnsi="Arial" w:cs="Arial"/>
          <w:color w:val="000000"/>
          <w:sz w:val="22"/>
          <w:szCs w:val="22"/>
        </w:rPr>
        <w:t>]</w:t>
      </w:r>
      <w:r w:rsidR="00E9547F" w:rsidRPr="00BF7EF6">
        <w:rPr>
          <w:rFonts w:ascii="Arial" w:hAnsi="Arial" w:cs="Arial"/>
          <w:color w:val="000000"/>
          <w:sz w:val="22"/>
          <w:szCs w:val="22"/>
        </w:rPr>
        <w:t xml:space="preserve"> found in the P0 of polero- and enamoviruses is necessary for its silencing suppressor activity. Interestingly, only the first le</w:t>
      </w:r>
      <w:r w:rsidR="009130E9" w:rsidRPr="00BF7EF6">
        <w:rPr>
          <w:rFonts w:ascii="Arial" w:hAnsi="Arial" w:cs="Arial"/>
          <w:color w:val="000000"/>
          <w:sz w:val="22"/>
          <w:szCs w:val="22"/>
        </w:rPr>
        <w:t>ucine is conserved where the F-box-like domain of GEV</w:t>
      </w:r>
      <w:r w:rsidR="00E9547F" w:rsidRPr="00BF7EF6">
        <w:rPr>
          <w:rFonts w:ascii="Arial" w:hAnsi="Arial" w:cs="Arial"/>
          <w:color w:val="000000"/>
          <w:sz w:val="22"/>
          <w:szCs w:val="22"/>
        </w:rPr>
        <w:t>1</w:t>
      </w:r>
      <w:r w:rsidR="009130E9" w:rsidRPr="00BF7EF6">
        <w:rPr>
          <w:rFonts w:ascii="Arial" w:hAnsi="Arial" w:cs="Arial"/>
          <w:color w:val="000000"/>
          <w:sz w:val="22"/>
          <w:szCs w:val="22"/>
        </w:rPr>
        <w:t xml:space="preserve"> is predicted</w:t>
      </w:r>
      <w:r w:rsidR="00E9547F" w:rsidRPr="00BF7EF6">
        <w:rPr>
          <w:rFonts w:ascii="Arial" w:hAnsi="Arial" w:cs="Arial"/>
          <w:color w:val="000000"/>
          <w:sz w:val="22"/>
          <w:szCs w:val="22"/>
        </w:rPr>
        <w:t>. ORF 1 (nt 471-2912) encodes an 89.8 kDa protein (P1) contain</w:t>
      </w:r>
      <w:r>
        <w:rPr>
          <w:rFonts w:ascii="Arial" w:hAnsi="Arial" w:cs="Arial"/>
          <w:color w:val="000000"/>
          <w:sz w:val="22"/>
          <w:szCs w:val="22"/>
        </w:rPr>
        <w:t>ing</w:t>
      </w:r>
      <w:r w:rsidR="00E9547F" w:rsidRPr="00BF7EF6">
        <w:rPr>
          <w:rFonts w:ascii="Arial" w:hAnsi="Arial" w:cs="Arial"/>
          <w:color w:val="000000"/>
          <w:sz w:val="22"/>
          <w:szCs w:val="22"/>
        </w:rPr>
        <w:t xml:space="preserve"> a conserved 3C-like serine peptidase followed by the genome-linked viral protein (VPg). The conserved domain H(</w:t>
      </w:r>
      <w:r>
        <w:rPr>
          <w:rFonts w:ascii="Arial" w:hAnsi="Arial" w:cs="Arial"/>
          <w:color w:val="000000"/>
          <w:sz w:val="22"/>
          <w:szCs w:val="22"/>
        </w:rPr>
        <w:t>X</w:t>
      </w:r>
      <w:proofErr w:type="gramStart"/>
      <w:r w:rsidR="00E9547F" w:rsidRPr="00BF7EF6">
        <w:rPr>
          <w:rFonts w:ascii="Arial" w:hAnsi="Arial" w:cs="Arial"/>
          <w:color w:val="000000"/>
          <w:sz w:val="22"/>
          <w:szCs w:val="22"/>
          <w:vertAlign w:val="subscript"/>
        </w:rPr>
        <w:t>25</w:t>
      </w:r>
      <w:r w:rsidR="00E9547F" w:rsidRPr="00BF7EF6">
        <w:rPr>
          <w:rFonts w:ascii="Arial" w:hAnsi="Arial" w:cs="Arial"/>
          <w:color w:val="000000"/>
          <w:sz w:val="22"/>
          <w:szCs w:val="22"/>
        </w:rPr>
        <w:t>)D</w:t>
      </w:r>
      <w:proofErr w:type="gramEnd"/>
      <w:r w:rsidR="00E9547F" w:rsidRPr="00BF7EF6">
        <w:rPr>
          <w:rFonts w:ascii="Arial" w:hAnsi="Arial" w:cs="Arial"/>
          <w:color w:val="000000"/>
          <w:sz w:val="22"/>
          <w:szCs w:val="22"/>
        </w:rPr>
        <w:t>(</w:t>
      </w:r>
      <w:r>
        <w:rPr>
          <w:rFonts w:ascii="Arial" w:hAnsi="Arial" w:cs="Arial"/>
          <w:color w:val="000000"/>
          <w:sz w:val="22"/>
          <w:szCs w:val="22"/>
        </w:rPr>
        <w:t>X</w:t>
      </w:r>
      <w:r w:rsidR="00E9547F" w:rsidRPr="00BF7EF6">
        <w:rPr>
          <w:rFonts w:ascii="Arial" w:hAnsi="Arial" w:cs="Arial"/>
          <w:color w:val="000000"/>
          <w:sz w:val="22"/>
          <w:szCs w:val="22"/>
          <w:vertAlign w:val="subscript"/>
        </w:rPr>
        <w:t>70-80</w:t>
      </w:r>
      <w:r w:rsidR="00E9547F" w:rsidRPr="00BF7EF6">
        <w:rPr>
          <w:rFonts w:ascii="Arial" w:hAnsi="Arial" w:cs="Arial"/>
          <w:color w:val="000000"/>
          <w:sz w:val="22"/>
          <w:szCs w:val="22"/>
        </w:rPr>
        <w:t>)G</w:t>
      </w:r>
      <w:r>
        <w:rPr>
          <w:rFonts w:ascii="Arial" w:hAnsi="Arial" w:cs="Arial"/>
          <w:color w:val="000000"/>
          <w:sz w:val="22"/>
          <w:szCs w:val="22"/>
        </w:rPr>
        <w:t>X</w:t>
      </w:r>
      <w:r w:rsidR="00E9547F" w:rsidRPr="00BF7EF6">
        <w:rPr>
          <w:rFonts w:ascii="Arial" w:hAnsi="Arial" w:cs="Arial"/>
          <w:color w:val="000000"/>
          <w:sz w:val="22"/>
          <w:szCs w:val="22"/>
        </w:rPr>
        <w:t>SG of the serine protease is positioned between nt 1350</w:t>
      </w:r>
      <w:r w:rsidR="009130E9" w:rsidRPr="00BF7EF6">
        <w:rPr>
          <w:rFonts w:ascii="Arial" w:hAnsi="Arial" w:cs="Arial"/>
          <w:color w:val="000000"/>
          <w:sz w:val="22"/>
          <w:szCs w:val="22"/>
        </w:rPr>
        <w:t xml:space="preserve"> and 1841. Alignments with PEMV</w:t>
      </w:r>
      <w:r w:rsidR="00E9547F" w:rsidRPr="00BF7EF6">
        <w:rPr>
          <w:rFonts w:ascii="Arial" w:hAnsi="Arial" w:cs="Arial"/>
          <w:color w:val="000000"/>
          <w:sz w:val="22"/>
          <w:szCs w:val="22"/>
        </w:rPr>
        <w:t>1 suggests that the first VPg</w:t>
      </w:r>
      <w:r w:rsidR="009130E9" w:rsidRPr="00BF7EF6">
        <w:rPr>
          <w:rFonts w:ascii="Arial" w:hAnsi="Arial" w:cs="Arial"/>
          <w:color w:val="000000"/>
          <w:sz w:val="22"/>
          <w:szCs w:val="22"/>
        </w:rPr>
        <w:t xml:space="preserve"> cleavage site (E/S) at the GEV</w:t>
      </w:r>
      <w:r w:rsidR="00E9547F" w:rsidRPr="00BF7EF6">
        <w:rPr>
          <w:rFonts w:ascii="Arial" w:hAnsi="Arial" w:cs="Arial"/>
          <w:color w:val="000000"/>
          <w:sz w:val="22"/>
          <w:szCs w:val="22"/>
        </w:rPr>
        <w:t xml:space="preserve">1 genome is positioned at nt 1938, but </w:t>
      </w:r>
      <w:r w:rsidR="009130E9" w:rsidRPr="00BF7EF6">
        <w:rPr>
          <w:rFonts w:ascii="Arial" w:hAnsi="Arial" w:cs="Arial"/>
          <w:color w:val="000000"/>
          <w:sz w:val="22"/>
          <w:szCs w:val="22"/>
        </w:rPr>
        <w:t>we were</w:t>
      </w:r>
      <w:r w:rsidR="00E9547F" w:rsidRPr="00BF7EF6">
        <w:rPr>
          <w:rFonts w:ascii="Arial" w:hAnsi="Arial" w:cs="Arial"/>
          <w:color w:val="000000"/>
          <w:sz w:val="22"/>
          <w:szCs w:val="22"/>
        </w:rPr>
        <w:t xml:space="preserve"> unable to deduce the second proteolysis site. The </w:t>
      </w:r>
      <w:proofErr w:type="gramStart"/>
      <w:r w:rsidR="00E9547F" w:rsidRPr="00BF7EF6">
        <w:rPr>
          <w:rFonts w:ascii="Arial" w:hAnsi="Arial" w:cs="Arial"/>
          <w:color w:val="000000"/>
          <w:sz w:val="22"/>
          <w:szCs w:val="22"/>
        </w:rPr>
        <w:t>W(</w:t>
      </w:r>
      <w:proofErr w:type="gramEnd"/>
      <w:r w:rsidR="00E9547F" w:rsidRPr="00BF7EF6">
        <w:rPr>
          <w:rFonts w:ascii="Arial" w:hAnsi="Arial" w:cs="Arial"/>
          <w:color w:val="000000"/>
          <w:sz w:val="22"/>
          <w:szCs w:val="22"/>
        </w:rPr>
        <w:t>A, G)D motif followed by a DE-rich region is located between nt 2079 and 2111. ORF 2 (nt 2168-4165) is translated by a -1 frameshift from ORF 1, originating a fusion pro</w:t>
      </w:r>
      <w:r w:rsidR="009130E9" w:rsidRPr="00BF7EF6">
        <w:rPr>
          <w:rFonts w:ascii="Arial" w:hAnsi="Arial" w:cs="Arial"/>
          <w:color w:val="000000"/>
          <w:sz w:val="22"/>
          <w:szCs w:val="22"/>
        </w:rPr>
        <w:t>tein (P1-P2) containing the RNA-</w:t>
      </w:r>
      <w:r w:rsidR="00E9547F" w:rsidRPr="00BF7EF6">
        <w:rPr>
          <w:rFonts w:ascii="Arial" w:hAnsi="Arial" w:cs="Arial"/>
          <w:color w:val="000000"/>
          <w:sz w:val="22"/>
          <w:szCs w:val="22"/>
        </w:rPr>
        <w:t xml:space="preserve">dependent RNA polymerase (RdRp) </w:t>
      </w:r>
      <w:r>
        <w:rPr>
          <w:rFonts w:ascii="Arial" w:hAnsi="Arial" w:cs="Arial"/>
          <w:color w:val="000000"/>
          <w:sz w:val="22"/>
          <w:szCs w:val="22"/>
        </w:rPr>
        <w:t>with</w:t>
      </w:r>
      <w:r w:rsidR="00E9547F" w:rsidRPr="00BF7EF6">
        <w:rPr>
          <w:rFonts w:ascii="Arial" w:hAnsi="Arial" w:cs="Arial"/>
          <w:color w:val="000000"/>
          <w:sz w:val="22"/>
          <w:szCs w:val="22"/>
        </w:rPr>
        <w:t xml:space="preserve"> a predicted molecular mass of 136.55 kDa. The highly conserved GDD motif is located between nt 3869 and 3877. ORF 3 (nt 4281-4871) encodes a 21.4 kDa protein which corresponds to the coat protein (CP). ORF 5 (nt 4872-5915) encodes the readthrough domain (RTD) of the CP-RTD fusion protein, predicted to have a total molecular mass of 59.7 kDa. This protein is needed for ef</w:t>
      </w:r>
      <w:r w:rsidR="009130E9" w:rsidRPr="00BF7EF6">
        <w:rPr>
          <w:rFonts w:ascii="Arial" w:hAnsi="Arial" w:cs="Arial"/>
          <w:color w:val="000000"/>
          <w:sz w:val="22"/>
          <w:szCs w:val="22"/>
        </w:rPr>
        <w:t>ficient aphid transmission. GEV</w:t>
      </w:r>
      <w:r w:rsidR="00E9547F" w:rsidRPr="00BF7EF6">
        <w:rPr>
          <w:rFonts w:ascii="Arial" w:hAnsi="Arial" w:cs="Arial"/>
          <w:color w:val="000000"/>
          <w:sz w:val="22"/>
          <w:szCs w:val="22"/>
        </w:rPr>
        <w:t xml:space="preserve">1 lacks the C-terminal portion of the CP-RTD protein that is responsible for limiting the infection of luteo- and poleroviruses to the phloem. The </w:t>
      </w:r>
      <w:r w:rsidR="009130E9" w:rsidRPr="00BF7EF6">
        <w:rPr>
          <w:rFonts w:ascii="Arial" w:hAnsi="Arial" w:cs="Arial"/>
          <w:color w:val="000000"/>
          <w:sz w:val="22"/>
          <w:szCs w:val="22"/>
        </w:rPr>
        <w:t xml:space="preserve">amino acid </w:t>
      </w:r>
      <w:r w:rsidR="006D3CDA">
        <w:rPr>
          <w:rFonts w:ascii="Arial" w:hAnsi="Arial" w:cs="Arial"/>
          <w:color w:val="000000"/>
          <w:sz w:val="22"/>
          <w:szCs w:val="22"/>
        </w:rPr>
        <w:t xml:space="preserve">sequence </w:t>
      </w:r>
      <w:r w:rsidR="009130E9" w:rsidRPr="00BF7EF6">
        <w:rPr>
          <w:rFonts w:ascii="Arial" w:hAnsi="Arial" w:cs="Arial"/>
          <w:color w:val="000000"/>
          <w:sz w:val="22"/>
          <w:szCs w:val="22"/>
        </w:rPr>
        <w:t>identity between GEV</w:t>
      </w:r>
      <w:r w:rsidR="00E9547F" w:rsidRPr="00BF7EF6">
        <w:rPr>
          <w:rFonts w:ascii="Arial" w:hAnsi="Arial" w:cs="Arial"/>
          <w:color w:val="000000"/>
          <w:sz w:val="22"/>
          <w:szCs w:val="22"/>
        </w:rPr>
        <w:t>1 and others enamoviruses is below 44% for all ORFs.</w:t>
      </w:r>
    </w:p>
    <w:p w14:paraId="3629758F" w14:textId="21270082" w:rsidR="00E9547F" w:rsidRPr="00BF7EF6" w:rsidRDefault="00E9547F" w:rsidP="00873F13">
      <w:pPr>
        <w:widowControl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F7EF6">
        <w:rPr>
          <w:rFonts w:ascii="Arial" w:hAnsi="Arial" w:cs="Arial"/>
          <w:color w:val="000000"/>
          <w:sz w:val="22"/>
          <w:szCs w:val="22"/>
        </w:rPr>
        <w:tab/>
        <w:t>Viruses in the family</w:t>
      </w:r>
      <w:r w:rsidRPr="00BF7EF6">
        <w:rPr>
          <w:rFonts w:ascii="Arial" w:hAnsi="Arial" w:cs="Arial"/>
          <w:i/>
          <w:color w:val="000000"/>
          <w:sz w:val="22"/>
          <w:szCs w:val="22"/>
        </w:rPr>
        <w:t xml:space="preserve"> Luteoviridae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 employ a wide range of translational mechanisms which are regulated by </w:t>
      </w:r>
      <w:r w:rsidRPr="006D3CDA">
        <w:rPr>
          <w:rFonts w:ascii="Arial" w:hAnsi="Arial" w:cs="Arial"/>
          <w:i/>
          <w:color w:val="000000"/>
          <w:sz w:val="22"/>
          <w:szCs w:val="22"/>
        </w:rPr>
        <w:t>cis</w:t>
      </w:r>
      <w:r w:rsidRPr="00BF7EF6">
        <w:rPr>
          <w:rFonts w:ascii="Arial" w:hAnsi="Arial" w:cs="Arial"/>
          <w:color w:val="000000"/>
          <w:sz w:val="22"/>
          <w:szCs w:val="22"/>
        </w:rPr>
        <w:t>-acting RNA elements (CRE) embedded in the virus gen</w:t>
      </w:r>
      <w:r w:rsidR="00B63A27" w:rsidRPr="00BF7EF6">
        <w:rPr>
          <w:rFonts w:ascii="Arial" w:hAnsi="Arial" w:cs="Arial"/>
          <w:color w:val="000000"/>
          <w:sz w:val="22"/>
          <w:szCs w:val="22"/>
        </w:rPr>
        <w:t>ome. GEV</w:t>
      </w:r>
      <w:r w:rsidRPr="00BF7EF6">
        <w:rPr>
          <w:rFonts w:ascii="Arial" w:hAnsi="Arial" w:cs="Arial"/>
          <w:color w:val="000000"/>
          <w:sz w:val="22"/>
          <w:szCs w:val="22"/>
        </w:rPr>
        <w:t>1 ORF 0 possesses a</w:t>
      </w:r>
      <w:r w:rsidR="00B63A27" w:rsidRPr="00BF7EF6">
        <w:rPr>
          <w:rFonts w:ascii="Arial" w:hAnsi="Arial" w:cs="Arial"/>
          <w:color w:val="000000"/>
          <w:sz w:val="22"/>
          <w:szCs w:val="22"/>
        </w:rPr>
        <w:t xml:space="preserve"> putative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 leaky start codon UAU</w:t>
      </w:r>
      <w:r w:rsidRPr="00BF7EF6">
        <w:rPr>
          <w:rFonts w:ascii="Arial" w:hAnsi="Arial" w:cs="Arial"/>
          <w:b/>
          <w:color w:val="000000"/>
          <w:sz w:val="22"/>
          <w:szCs w:val="22"/>
        </w:rPr>
        <w:t>AUG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U, allowing the translation of ORF 1. Two signals are required for the -1 ribosomal frameshift at ORF 1, the heptanucleotide sequence XXXYYYZ and a downstream pseudoknot or very stable RNA secondary structure located six to eight nucleotides from the frameshift site. </w:t>
      </w:r>
      <w:r w:rsidR="006D3CDA">
        <w:rPr>
          <w:rFonts w:ascii="Arial" w:hAnsi="Arial" w:cs="Arial"/>
          <w:color w:val="000000"/>
          <w:sz w:val="22"/>
          <w:szCs w:val="22"/>
        </w:rPr>
        <w:t>T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he </w:t>
      </w:r>
      <w:r w:rsidR="006D3CDA">
        <w:rPr>
          <w:rFonts w:ascii="Arial" w:hAnsi="Arial" w:cs="Arial"/>
          <w:color w:val="000000"/>
          <w:sz w:val="22"/>
          <w:szCs w:val="22"/>
        </w:rPr>
        <w:t xml:space="preserve">heptanucleotide sequence </w:t>
      </w:r>
      <w:r w:rsidR="00B63A27" w:rsidRPr="00BF7EF6">
        <w:rPr>
          <w:rFonts w:ascii="Arial" w:hAnsi="Arial" w:cs="Arial"/>
          <w:color w:val="000000"/>
          <w:sz w:val="22"/>
          <w:szCs w:val="22"/>
        </w:rPr>
        <w:t>UUU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AAAC </w:t>
      </w:r>
      <w:r w:rsidR="006D3CDA">
        <w:rPr>
          <w:rFonts w:ascii="Arial" w:hAnsi="Arial" w:cs="Arial"/>
          <w:color w:val="000000"/>
          <w:sz w:val="22"/>
          <w:szCs w:val="22"/>
        </w:rPr>
        <w:t xml:space="preserve">is 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located at nt 2168 and a pseudoknot </w:t>
      </w:r>
      <w:r w:rsidR="006D3CDA">
        <w:rPr>
          <w:rFonts w:ascii="Arial" w:hAnsi="Arial" w:cs="Arial"/>
          <w:color w:val="000000"/>
          <w:sz w:val="22"/>
          <w:szCs w:val="22"/>
        </w:rPr>
        <w:t xml:space="preserve">is present </w:t>
      </w:r>
      <w:r w:rsidRPr="00BF7EF6">
        <w:rPr>
          <w:rFonts w:ascii="Arial" w:hAnsi="Arial" w:cs="Arial"/>
          <w:color w:val="000000"/>
          <w:sz w:val="22"/>
          <w:szCs w:val="22"/>
        </w:rPr>
        <w:t>seven nt downstream of this site,</w:t>
      </w:r>
      <w:r w:rsidR="006D3CDA">
        <w:rPr>
          <w:rFonts w:ascii="Arial" w:hAnsi="Arial" w:cs="Arial"/>
          <w:color w:val="000000"/>
          <w:sz w:val="22"/>
          <w:szCs w:val="22"/>
        </w:rPr>
        <w:t xml:space="preserve"> as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 predicted with the RNAPKplex program. </w:t>
      </w:r>
      <w:r w:rsidR="00B63A27" w:rsidRPr="00BF7EF6">
        <w:rPr>
          <w:rFonts w:ascii="Arial" w:hAnsi="Arial" w:cs="Arial"/>
          <w:color w:val="000000"/>
          <w:sz w:val="22"/>
          <w:szCs w:val="22"/>
        </w:rPr>
        <w:t xml:space="preserve">Remarkably, the sequence flanking the GEV1 stop codon readthrough site </w:t>
      </w:r>
      <w:r w:rsidR="00B63A27" w:rsidRPr="00BF7EF6">
        <w:rPr>
          <w:rFonts w:ascii="Arial" w:hAnsi="Arial" w:cs="Arial"/>
          <w:color w:val="000000"/>
          <w:sz w:val="22"/>
          <w:szCs w:val="22"/>
        </w:rPr>
        <w:lastRenderedPageBreak/>
        <w:t>at ORF 3 (UUG</w:t>
      </w:r>
      <w:r w:rsidR="00B63A27" w:rsidRPr="00BF7EF6">
        <w:rPr>
          <w:rFonts w:ascii="Arial" w:hAnsi="Arial" w:cs="Arial"/>
          <w:b/>
          <w:color w:val="000000"/>
          <w:sz w:val="22"/>
          <w:szCs w:val="22"/>
        </w:rPr>
        <w:t>UGA</w:t>
      </w:r>
      <w:r w:rsidR="00B63A27" w:rsidRPr="00BF7EF6">
        <w:rPr>
          <w:rFonts w:ascii="Arial" w:hAnsi="Arial" w:cs="Arial"/>
          <w:color w:val="000000"/>
          <w:sz w:val="22"/>
          <w:szCs w:val="22"/>
        </w:rPr>
        <w:t xml:space="preserve">UAU) is not similar to any previously reported </w:t>
      </w:r>
      <w:r w:rsidR="00B63A27" w:rsidRPr="00BF7EF6">
        <w:rPr>
          <w:rFonts w:ascii="Arial" w:hAnsi="Arial" w:cs="Arial"/>
          <w:i/>
          <w:color w:val="000000"/>
          <w:sz w:val="22"/>
          <w:szCs w:val="22"/>
        </w:rPr>
        <w:t>Luteoviridae</w:t>
      </w:r>
      <w:r w:rsidR="00B63A27" w:rsidRPr="00BF7EF6">
        <w:rPr>
          <w:rFonts w:ascii="Arial" w:hAnsi="Arial" w:cs="Arial"/>
          <w:color w:val="000000"/>
          <w:sz w:val="22"/>
          <w:szCs w:val="22"/>
        </w:rPr>
        <w:t xml:space="preserve">, but like other luteovirids GEV1 does contain the 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CCNNNN tandem repeat motif </w:t>
      </w:r>
      <w:r w:rsidR="00B63A27" w:rsidRPr="00BF7EF6">
        <w:rPr>
          <w:rFonts w:ascii="Arial" w:hAnsi="Arial" w:cs="Arial"/>
          <w:color w:val="000000"/>
          <w:sz w:val="22"/>
          <w:szCs w:val="22"/>
        </w:rPr>
        <w:t>required for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 ORF 3 stop codon readthrough </w:t>
      </w:r>
      <w:r w:rsidR="00B63A27" w:rsidRPr="00BF7EF6">
        <w:rPr>
          <w:rFonts w:ascii="Arial" w:hAnsi="Arial" w:cs="Arial"/>
          <w:color w:val="000000"/>
          <w:sz w:val="22"/>
          <w:szCs w:val="22"/>
        </w:rPr>
        <w:t>at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 nt 4887 and 4935, 15 nucleotides downstream from the te</w:t>
      </w:r>
      <w:r w:rsidR="00B63A27" w:rsidRPr="00BF7EF6">
        <w:rPr>
          <w:rFonts w:ascii="Arial" w:hAnsi="Arial" w:cs="Arial"/>
          <w:color w:val="000000"/>
          <w:sz w:val="22"/>
          <w:szCs w:val="22"/>
        </w:rPr>
        <w:t>rmination site</w:t>
      </w:r>
      <w:r w:rsidR="006D3CDA">
        <w:rPr>
          <w:rFonts w:ascii="Arial" w:hAnsi="Arial" w:cs="Arial"/>
          <w:color w:val="000000"/>
          <w:sz w:val="22"/>
          <w:szCs w:val="22"/>
        </w:rPr>
        <w:t>. I</w:t>
      </w:r>
      <w:r w:rsidR="00B63A27" w:rsidRPr="00BF7EF6">
        <w:rPr>
          <w:rFonts w:ascii="Arial" w:hAnsi="Arial" w:cs="Arial"/>
          <w:color w:val="000000"/>
          <w:sz w:val="22"/>
          <w:szCs w:val="22"/>
        </w:rPr>
        <w:t xml:space="preserve">t contains sequence adjacent to the leaky stop codon capable of base pairing to a putative downstream readthrough element as in other luteovirids. </w:t>
      </w:r>
    </w:p>
    <w:p w14:paraId="6F8FC484" w14:textId="1362F154" w:rsidR="00E9547F" w:rsidRPr="00BF7EF6" w:rsidRDefault="00E9547F" w:rsidP="00873F13">
      <w:pPr>
        <w:widowControl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F7EF6">
        <w:rPr>
          <w:rFonts w:ascii="Arial" w:hAnsi="Arial" w:cs="Arial"/>
          <w:color w:val="000000"/>
          <w:sz w:val="22"/>
          <w:szCs w:val="22"/>
        </w:rPr>
        <w:tab/>
        <w:t>Maximum likelihood trees for the family</w:t>
      </w:r>
      <w:r w:rsidRPr="00BF7EF6">
        <w:rPr>
          <w:rFonts w:ascii="Arial" w:hAnsi="Arial" w:cs="Arial"/>
          <w:i/>
          <w:color w:val="000000"/>
          <w:sz w:val="22"/>
          <w:szCs w:val="22"/>
        </w:rPr>
        <w:t xml:space="preserve"> Luteoviridae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 were estimated based on the P2 and CP translated sequences (Fig</w:t>
      </w:r>
      <w:r w:rsidR="006D3CDA">
        <w:rPr>
          <w:rFonts w:ascii="Arial" w:hAnsi="Arial" w:cs="Arial"/>
          <w:color w:val="000000"/>
          <w:sz w:val="22"/>
          <w:szCs w:val="22"/>
        </w:rPr>
        <w:t>ure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 1b). ORF 2 is separated from ORF 3 by an intergenic region which is a probable hot spot for recombination among luteovirids</w:t>
      </w:r>
      <w:r w:rsidR="006D3CDA">
        <w:rPr>
          <w:rFonts w:ascii="Arial" w:hAnsi="Arial" w:cs="Arial"/>
          <w:color w:val="000000"/>
          <w:sz w:val="22"/>
          <w:szCs w:val="22"/>
        </w:rPr>
        <w:t>,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 so incongruences in the trees when considering these two distinct regions a</w:t>
      </w:r>
      <w:r w:rsidR="00442EC5" w:rsidRPr="00BF7EF6">
        <w:rPr>
          <w:rFonts w:ascii="Arial" w:hAnsi="Arial" w:cs="Arial"/>
          <w:color w:val="000000"/>
          <w:sz w:val="22"/>
          <w:szCs w:val="22"/>
        </w:rPr>
        <w:t>re expected. In both trees, GEV1 clusters together with PEMV1 and AEV1, indicating that GEV</w:t>
      </w:r>
      <w:r w:rsidRPr="00BF7EF6">
        <w:rPr>
          <w:rFonts w:ascii="Arial" w:hAnsi="Arial" w:cs="Arial"/>
          <w:color w:val="000000"/>
          <w:sz w:val="22"/>
          <w:szCs w:val="22"/>
        </w:rPr>
        <w:t>1 is more closely related to</w:t>
      </w:r>
      <w:r w:rsidR="006D3CDA">
        <w:rPr>
          <w:rFonts w:ascii="Arial" w:hAnsi="Arial" w:cs="Arial"/>
          <w:color w:val="000000"/>
          <w:sz w:val="22"/>
          <w:szCs w:val="22"/>
        </w:rPr>
        <w:t xml:space="preserve"> members of</w:t>
      </w:r>
      <w:r w:rsidRPr="00BF7EF6">
        <w:rPr>
          <w:rFonts w:ascii="Arial" w:hAnsi="Arial" w:cs="Arial"/>
          <w:color w:val="000000"/>
          <w:sz w:val="22"/>
          <w:szCs w:val="22"/>
        </w:rPr>
        <w:t xml:space="preserve"> the genus</w:t>
      </w:r>
      <w:r w:rsidRPr="00BF7EF6">
        <w:rPr>
          <w:rFonts w:ascii="Arial" w:hAnsi="Arial" w:cs="Arial"/>
          <w:i/>
          <w:color w:val="000000"/>
          <w:sz w:val="22"/>
          <w:szCs w:val="22"/>
        </w:rPr>
        <w:t xml:space="preserve"> Enamovirus</w:t>
      </w:r>
      <w:r w:rsidRPr="00BF7EF6">
        <w:rPr>
          <w:rFonts w:ascii="Arial" w:hAnsi="Arial" w:cs="Arial"/>
          <w:color w:val="000000"/>
          <w:sz w:val="22"/>
          <w:szCs w:val="22"/>
        </w:rPr>
        <w:t>.</w:t>
      </w:r>
    </w:p>
    <w:p w14:paraId="7972E66C" w14:textId="72DD99AC" w:rsidR="00144836" w:rsidRPr="00EC6D50" w:rsidRDefault="00E9547F" w:rsidP="00591A40">
      <w:pPr>
        <w:spacing w:line="360" w:lineRule="auto"/>
        <w:jc w:val="both"/>
        <w:rPr>
          <w:color w:val="000000"/>
          <w:sz w:val="20"/>
          <w:szCs w:val="20"/>
        </w:rPr>
      </w:pPr>
      <w:r w:rsidRPr="00BF7EF6">
        <w:rPr>
          <w:rFonts w:ascii="Arial" w:hAnsi="Arial" w:cs="Arial"/>
          <w:color w:val="000000"/>
          <w:sz w:val="22"/>
          <w:szCs w:val="22"/>
        </w:rPr>
        <w:tab/>
      </w:r>
      <w:r w:rsidRPr="00BF7EF6">
        <w:rPr>
          <w:rFonts w:ascii="Arial" w:hAnsi="Arial" w:cs="Arial"/>
          <w:sz w:val="22"/>
          <w:szCs w:val="22"/>
        </w:rPr>
        <w:t>The distinguishing feature of the genus</w:t>
      </w:r>
      <w:r w:rsidRPr="00BF7EF6">
        <w:rPr>
          <w:rFonts w:ascii="Arial" w:hAnsi="Arial" w:cs="Arial"/>
          <w:i/>
          <w:sz w:val="22"/>
          <w:szCs w:val="22"/>
        </w:rPr>
        <w:t xml:space="preserve"> Enamovirus</w:t>
      </w:r>
      <w:r w:rsidRPr="00BF7EF6">
        <w:rPr>
          <w:rFonts w:ascii="Arial" w:hAnsi="Arial" w:cs="Arial"/>
          <w:sz w:val="22"/>
          <w:szCs w:val="22"/>
        </w:rPr>
        <w:t xml:space="preserve"> is the lack of a movement protein</w:t>
      </w:r>
      <w:r w:rsidR="0043739B" w:rsidRPr="00BF7EF6">
        <w:rPr>
          <w:rFonts w:ascii="Arial" w:hAnsi="Arial" w:cs="Arial"/>
          <w:sz w:val="22"/>
          <w:szCs w:val="22"/>
        </w:rPr>
        <w:t xml:space="preserve"> (ORF 4 in polero- and luteoviruses)</w:t>
      </w:r>
      <w:r w:rsidRPr="00BF7EF6">
        <w:rPr>
          <w:rFonts w:ascii="Arial" w:hAnsi="Arial" w:cs="Arial"/>
          <w:sz w:val="22"/>
          <w:szCs w:val="22"/>
        </w:rPr>
        <w:t>. No ORF corresponding to this protein could be identifie</w:t>
      </w:r>
      <w:r w:rsidR="00BC6B19" w:rsidRPr="00BF7EF6">
        <w:rPr>
          <w:rFonts w:ascii="Arial" w:hAnsi="Arial" w:cs="Arial"/>
          <w:sz w:val="22"/>
          <w:szCs w:val="22"/>
        </w:rPr>
        <w:t>d on GEV</w:t>
      </w:r>
      <w:r w:rsidRPr="00BF7EF6">
        <w:rPr>
          <w:rFonts w:ascii="Arial" w:hAnsi="Arial" w:cs="Arial"/>
          <w:sz w:val="22"/>
          <w:szCs w:val="22"/>
        </w:rPr>
        <w:t xml:space="preserve">1. </w:t>
      </w:r>
      <w:r w:rsidR="00591A40" w:rsidRPr="00BF7EF6">
        <w:rPr>
          <w:rFonts w:ascii="Arial" w:hAnsi="Arial" w:cs="Arial"/>
          <w:color w:val="000000"/>
          <w:sz w:val="22"/>
          <w:szCs w:val="22"/>
        </w:rPr>
        <w:t>Based on its genomic properties</w:t>
      </w:r>
      <w:r w:rsidR="00BC6B19" w:rsidRPr="00BF7EF6">
        <w:rPr>
          <w:rFonts w:ascii="Arial" w:hAnsi="Arial" w:cs="Arial"/>
          <w:color w:val="000000"/>
          <w:sz w:val="22"/>
          <w:szCs w:val="22"/>
        </w:rPr>
        <w:t xml:space="preserve"> and phylogenetic analyses, GEV</w:t>
      </w:r>
      <w:r w:rsidR="00591A40" w:rsidRPr="00BF7EF6">
        <w:rPr>
          <w:rFonts w:ascii="Arial" w:hAnsi="Arial" w:cs="Arial"/>
          <w:color w:val="000000"/>
          <w:sz w:val="22"/>
          <w:szCs w:val="22"/>
        </w:rPr>
        <w:t xml:space="preserve">1 should be classified as a new </w:t>
      </w:r>
      <w:r w:rsidR="006D3CDA">
        <w:rPr>
          <w:rFonts w:ascii="Arial" w:hAnsi="Arial" w:cs="Arial"/>
          <w:color w:val="000000"/>
          <w:sz w:val="22"/>
          <w:szCs w:val="22"/>
        </w:rPr>
        <w:t>species</w:t>
      </w:r>
      <w:r w:rsidR="00591A40" w:rsidRPr="00BF7EF6">
        <w:rPr>
          <w:rFonts w:ascii="Arial" w:hAnsi="Arial" w:cs="Arial"/>
          <w:color w:val="000000"/>
          <w:sz w:val="22"/>
          <w:szCs w:val="22"/>
        </w:rPr>
        <w:t xml:space="preserve"> of the genus</w:t>
      </w:r>
      <w:r w:rsidR="00591A40" w:rsidRPr="00BF7EF6">
        <w:rPr>
          <w:rFonts w:ascii="Arial" w:hAnsi="Arial" w:cs="Arial"/>
          <w:i/>
          <w:color w:val="000000"/>
          <w:sz w:val="22"/>
          <w:szCs w:val="22"/>
        </w:rPr>
        <w:t xml:space="preserve"> Enamovirus</w:t>
      </w:r>
      <w:r w:rsidR="00591A40" w:rsidRPr="00BF7EF6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47FEC1C8" w14:textId="77777777" w:rsidR="00144836" w:rsidRDefault="00144836" w:rsidP="00E9547F">
      <w:pPr>
        <w:spacing w:line="360" w:lineRule="auto"/>
        <w:jc w:val="both"/>
        <w:rPr>
          <w:color w:val="000000"/>
          <w:sz w:val="20"/>
          <w:szCs w:val="20"/>
        </w:rPr>
      </w:pPr>
    </w:p>
    <w:p w14:paraId="318C3C57" w14:textId="6BF3A121" w:rsidR="00D614A9" w:rsidRDefault="00D614A9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 w:type="page"/>
      </w:r>
    </w:p>
    <w:p w14:paraId="27484F17" w14:textId="77777777" w:rsidR="00D614A9" w:rsidRDefault="00D614A9">
      <w:pPr>
        <w:rPr>
          <w:color w:val="000000"/>
          <w:sz w:val="20"/>
          <w:szCs w:val="20"/>
        </w:rPr>
      </w:pPr>
    </w:p>
    <w:p w14:paraId="1C0EE9C4" w14:textId="77777777" w:rsidR="00D614A9" w:rsidRDefault="00D614A9">
      <w:pPr>
        <w:rPr>
          <w:color w:val="000000"/>
          <w:sz w:val="20"/>
          <w:szCs w:val="20"/>
        </w:rPr>
      </w:pPr>
    </w:p>
    <w:p w14:paraId="7C7972C9" w14:textId="3B651FB4" w:rsidR="00D614A9" w:rsidRPr="00E9547F" w:rsidRDefault="00D614A9" w:rsidP="00E9547F">
      <w:pPr>
        <w:spacing w:line="360" w:lineRule="auto"/>
        <w:jc w:val="both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  <w:lang w:val="en-GB" w:eastAsia="en-GB"/>
        </w:rPr>
        <mc:AlternateContent>
          <mc:Choice Requires="wps">
            <w:drawing>
              <wp:inline distT="0" distB="0" distL="0" distR="0" wp14:anchorId="317E1BC7" wp14:editId="065FE106">
                <wp:extent cx="5936776" cy="7069540"/>
                <wp:effectExtent l="0" t="0" r="6985" b="17145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6776" cy="7069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59D2C1B" w14:textId="70FF8806" w:rsidR="00D614A9" w:rsidRDefault="00D614A9">
                            <w:r>
                              <w:rPr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16123A61" wp14:editId="63D2B5B6">
                                  <wp:extent cx="5747385" cy="6927850"/>
                                  <wp:effectExtent l="0" t="0" r="5715" b="635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GEV-1-ICTV-Figure-jpg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47385" cy="69278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17E1BC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67.45pt;height:55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" fillcolor="white [3201]" strokeweight=".5pt">
                <v:textbox>
                  <w:txbxContent>
                    <w:p w14:paraId="659D2C1B" w14:textId="70FF8806" w:rsidR="00D614A9" w:rsidRDefault="00D614A9">
                      <w:r>
                        <w:rPr>
                          <w:noProof/>
                        </w:rPr>
                        <w:drawing>
                          <wp:inline distT="0" distB="0" distL="0" distR="0" wp14:anchorId="16123A61" wp14:editId="63D2B5B6">
                            <wp:extent cx="5747385" cy="6927850"/>
                            <wp:effectExtent l="0" t="0" r="5715" b="635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GEV-1-ICTV-Figure-jpg.jp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47385" cy="69278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3070470" w14:textId="60A25303" w:rsidR="00CE0DE4" w:rsidRDefault="00E9547F" w:rsidP="006D3CDA">
      <w:pPr>
        <w:jc w:val="both"/>
        <w:rPr>
          <w:rFonts w:ascii="Arial" w:hAnsi="Arial" w:cs="Arial"/>
          <w:color w:val="000000"/>
          <w:sz w:val="22"/>
          <w:szCs w:val="20"/>
        </w:rPr>
      </w:pPr>
      <w:r w:rsidRPr="006D3CDA">
        <w:rPr>
          <w:rFonts w:ascii="Arial" w:hAnsi="Arial" w:cs="Arial"/>
          <w:b/>
          <w:color w:val="000000"/>
          <w:sz w:val="22"/>
          <w:szCs w:val="20"/>
        </w:rPr>
        <w:t>Fig</w:t>
      </w:r>
      <w:r w:rsidR="00D437CD" w:rsidRPr="006D3CDA">
        <w:rPr>
          <w:rFonts w:ascii="Arial" w:hAnsi="Arial" w:cs="Arial"/>
          <w:b/>
          <w:color w:val="000000"/>
          <w:sz w:val="22"/>
          <w:szCs w:val="20"/>
        </w:rPr>
        <w:t>ure</w:t>
      </w:r>
      <w:r w:rsidRPr="006D3CDA">
        <w:rPr>
          <w:rFonts w:ascii="Arial" w:hAnsi="Arial" w:cs="Arial"/>
          <w:b/>
          <w:color w:val="000000"/>
          <w:sz w:val="22"/>
          <w:szCs w:val="20"/>
        </w:rPr>
        <w:t xml:space="preserve"> 1</w:t>
      </w:r>
      <w:r w:rsidR="006D3CDA" w:rsidRPr="006D3CDA">
        <w:rPr>
          <w:rFonts w:ascii="Arial" w:hAnsi="Arial" w:cs="Arial"/>
          <w:b/>
          <w:color w:val="000000"/>
          <w:sz w:val="22"/>
          <w:szCs w:val="20"/>
        </w:rPr>
        <w:t>.</w:t>
      </w:r>
      <w:r w:rsidRPr="006D3CDA">
        <w:rPr>
          <w:rFonts w:ascii="Arial" w:hAnsi="Arial" w:cs="Arial"/>
          <w:b/>
          <w:color w:val="000000"/>
          <w:sz w:val="22"/>
          <w:szCs w:val="20"/>
        </w:rPr>
        <w:t xml:space="preserve"> </w:t>
      </w:r>
      <w:r w:rsidRPr="006D3CDA">
        <w:rPr>
          <w:rFonts w:ascii="Arial" w:hAnsi="Arial" w:cs="Arial"/>
          <w:color w:val="000000"/>
          <w:sz w:val="22"/>
          <w:szCs w:val="20"/>
        </w:rPr>
        <w:t>(</w:t>
      </w:r>
      <w:r w:rsidRPr="006D3CDA">
        <w:rPr>
          <w:rFonts w:ascii="Arial" w:hAnsi="Arial" w:cs="Arial"/>
          <w:b/>
          <w:color w:val="000000"/>
          <w:sz w:val="22"/>
          <w:szCs w:val="20"/>
        </w:rPr>
        <w:t>a</w:t>
      </w:r>
      <w:r w:rsidRPr="006D3CDA">
        <w:rPr>
          <w:rFonts w:ascii="Arial" w:hAnsi="Arial" w:cs="Arial"/>
          <w:color w:val="000000"/>
          <w:sz w:val="22"/>
          <w:szCs w:val="20"/>
        </w:rPr>
        <w:t xml:space="preserve">) </w:t>
      </w:r>
      <w:r w:rsidR="00ED375D" w:rsidRPr="006D3CDA">
        <w:rPr>
          <w:rFonts w:ascii="Arial" w:hAnsi="Arial" w:cs="Arial"/>
          <w:color w:val="000000"/>
          <w:sz w:val="22"/>
          <w:szCs w:val="20"/>
        </w:rPr>
        <w:t xml:space="preserve">Grapevine enamovirus </w:t>
      </w:r>
      <w:r w:rsidR="006D3CDA">
        <w:rPr>
          <w:rFonts w:ascii="Arial" w:hAnsi="Arial" w:cs="Arial"/>
          <w:color w:val="000000"/>
          <w:sz w:val="22"/>
          <w:szCs w:val="20"/>
        </w:rPr>
        <w:t>1 (GEV</w:t>
      </w:r>
      <w:r w:rsidR="00D437CD" w:rsidRPr="006D3CDA">
        <w:rPr>
          <w:rFonts w:ascii="Arial" w:hAnsi="Arial" w:cs="Arial"/>
          <w:color w:val="000000"/>
          <w:sz w:val="22"/>
          <w:szCs w:val="20"/>
        </w:rPr>
        <w:t>1)</w:t>
      </w:r>
      <w:r w:rsidRPr="006D3CDA">
        <w:rPr>
          <w:rFonts w:ascii="Arial" w:hAnsi="Arial" w:cs="Arial"/>
          <w:color w:val="000000"/>
          <w:sz w:val="22"/>
          <w:szCs w:val="20"/>
        </w:rPr>
        <w:t xml:space="preserve"> genome organization and (</w:t>
      </w:r>
      <w:r w:rsidRPr="006D3CDA">
        <w:rPr>
          <w:rFonts w:ascii="Arial" w:hAnsi="Arial" w:cs="Arial"/>
          <w:b/>
          <w:color w:val="000000"/>
          <w:sz w:val="22"/>
          <w:szCs w:val="20"/>
        </w:rPr>
        <w:t>b</w:t>
      </w:r>
      <w:r w:rsidRPr="006D3CDA">
        <w:rPr>
          <w:rFonts w:ascii="Arial" w:hAnsi="Arial" w:cs="Arial"/>
          <w:color w:val="000000"/>
          <w:sz w:val="22"/>
          <w:szCs w:val="20"/>
        </w:rPr>
        <w:t xml:space="preserve">) </w:t>
      </w:r>
      <w:r w:rsidR="006D3CDA">
        <w:rPr>
          <w:rFonts w:ascii="Arial" w:hAnsi="Arial" w:cs="Arial"/>
          <w:color w:val="000000"/>
          <w:sz w:val="22"/>
          <w:szCs w:val="20"/>
        </w:rPr>
        <w:t>m</w:t>
      </w:r>
      <w:r w:rsidRPr="006D3CDA">
        <w:rPr>
          <w:rFonts w:ascii="Arial" w:hAnsi="Arial" w:cs="Arial"/>
          <w:color w:val="000000"/>
          <w:sz w:val="22"/>
          <w:szCs w:val="20"/>
        </w:rPr>
        <w:t xml:space="preserve">aximum likelihood trees </w:t>
      </w:r>
      <w:r w:rsidR="006D3CDA">
        <w:rPr>
          <w:rFonts w:ascii="Arial" w:hAnsi="Arial" w:cs="Arial"/>
          <w:color w:val="000000"/>
          <w:sz w:val="22"/>
          <w:szCs w:val="20"/>
        </w:rPr>
        <w:t>[</w:t>
      </w:r>
      <w:r w:rsidRPr="006D3CDA">
        <w:rPr>
          <w:rFonts w:ascii="Arial" w:hAnsi="Arial" w:cs="Arial"/>
          <w:color w:val="000000"/>
          <w:sz w:val="22"/>
          <w:szCs w:val="20"/>
        </w:rPr>
        <w:t xml:space="preserve">JTT + </w:t>
      </w:r>
      <w:proofErr w:type="gramStart"/>
      <w:r w:rsidRPr="006D3CDA">
        <w:rPr>
          <w:rFonts w:ascii="Arial" w:hAnsi="Arial" w:cs="Arial"/>
          <w:color w:val="000000"/>
          <w:sz w:val="22"/>
          <w:szCs w:val="20"/>
        </w:rPr>
        <w:t>G(</w:t>
      </w:r>
      <w:proofErr w:type="gramEnd"/>
      <w:r w:rsidRPr="006D3CDA">
        <w:rPr>
          <w:rFonts w:ascii="Arial" w:hAnsi="Arial" w:cs="Arial"/>
          <w:color w:val="000000"/>
          <w:sz w:val="22"/>
          <w:szCs w:val="20"/>
        </w:rPr>
        <w:t>4) + I; Bootstrap = 1000 replications</w:t>
      </w:r>
      <w:r w:rsidR="006D3CDA">
        <w:rPr>
          <w:rFonts w:ascii="Arial" w:hAnsi="Arial" w:cs="Arial"/>
          <w:color w:val="000000"/>
          <w:sz w:val="22"/>
          <w:szCs w:val="20"/>
        </w:rPr>
        <w:t>]</w:t>
      </w:r>
      <w:r w:rsidRPr="006D3CDA">
        <w:rPr>
          <w:rFonts w:ascii="Arial" w:hAnsi="Arial" w:cs="Arial"/>
          <w:color w:val="000000"/>
          <w:sz w:val="22"/>
          <w:szCs w:val="20"/>
        </w:rPr>
        <w:t xml:space="preserve"> for the family</w:t>
      </w:r>
      <w:r w:rsidRPr="006D3CDA">
        <w:rPr>
          <w:rFonts w:ascii="Arial" w:hAnsi="Arial" w:cs="Arial"/>
          <w:i/>
          <w:color w:val="000000"/>
          <w:sz w:val="22"/>
          <w:szCs w:val="20"/>
        </w:rPr>
        <w:t xml:space="preserve"> Luteoviridae</w:t>
      </w:r>
      <w:r w:rsidRPr="006D3CDA">
        <w:rPr>
          <w:rFonts w:ascii="Arial" w:hAnsi="Arial" w:cs="Arial"/>
          <w:color w:val="000000"/>
          <w:sz w:val="22"/>
          <w:szCs w:val="20"/>
        </w:rPr>
        <w:t xml:space="preserve"> using the P2 and CP amino acid sequences. Trees were inferred with MEGA 7. Alignments were performed with MUSCLE. Trees were midpoint rooted.</w:t>
      </w:r>
    </w:p>
    <w:p w14:paraId="0B658F81" w14:textId="77777777" w:rsidR="00E927ED" w:rsidRDefault="00E927ED" w:rsidP="006D3CDA">
      <w:pPr>
        <w:jc w:val="both"/>
        <w:rPr>
          <w:rFonts w:ascii="Arial" w:hAnsi="Arial" w:cs="Arial"/>
          <w:color w:val="000000"/>
          <w:sz w:val="22"/>
          <w:szCs w:val="20"/>
        </w:rPr>
      </w:pPr>
    </w:p>
    <w:p w14:paraId="523EF1E6" w14:textId="77777777" w:rsidR="00E927ED" w:rsidRDefault="00E927ED" w:rsidP="006D3CDA">
      <w:pPr>
        <w:jc w:val="both"/>
        <w:rPr>
          <w:rFonts w:ascii="Arial" w:hAnsi="Arial" w:cs="Arial"/>
          <w:color w:val="000000"/>
          <w:sz w:val="22"/>
          <w:szCs w:val="20"/>
        </w:rPr>
      </w:pPr>
    </w:p>
    <w:p w14:paraId="53D2DA92" w14:textId="77777777" w:rsidR="00E927ED" w:rsidRDefault="00E927ED" w:rsidP="006D3CDA">
      <w:pPr>
        <w:jc w:val="both"/>
        <w:rPr>
          <w:rFonts w:ascii="Arial" w:hAnsi="Arial" w:cs="Arial"/>
          <w:color w:val="000000"/>
          <w:sz w:val="22"/>
          <w:szCs w:val="20"/>
        </w:rPr>
      </w:pPr>
    </w:p>
    <w:p w14:paraId="5B1800F5" w14:textId="77777777" w:rsidR="00E927ED" w:rsidRDefault="00E927ED" w:rsidP="006D3CDA">
      <w:pPr>
        <w:jc w:val="both"/>
        <w:rPr>
          <w:rFonts w:ascii="Arial" w:hAnsi="Arial" w:cs="Arial"/>
          <w:color w:val="000000"/>
          <w:sz w:val="22"/>
          <w:szCs w:val="20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E927ED" w:rsidRPr="001E492D" w14:paraId="0C0B9A57" w14:textId="77777777" w:rsidTr="00435D58">
        <w:trPr>
          <w:tblHeader/>
        </w:trPr>
        <w:tc>
          <w:tcPr>
            <w:tcW w:w="9228" w:type="dxa"/>
          </w:tcPr>
          <w:p w14:paraId="1815813C" w14:textId="432554A7" w:rsidR="00E927ED" w:rsidRPr="001E492D" w:rsidRDefault="00E927ED" w:rsidP="00435D58">
            <w:pPr>
              <w:spacing w:after="120"/>
              <w:rPr>
                <w:b/>
              </w:rPr>
            </w:pPr>
            <w:r>
              <w:rPr>
                <w:b/>
              </w:rPr>
              <w:lastRenderedPageBreak/>
              <w:t>References</w:t>
            </w:r>
            <w:r w:rsidRPr="001E492D">
              <w:rPr>
                <w:b/>
              </w:rPr>
              <w:t>:</w:t>
            </w:r>
          </w:p>
        </w:tc>
      </w:tr>
      <w:tr w:rsidR="00E927ED" w:rsidRPr="00250CCD" w14:paraId="3173883C" w14:textId="77777777" w:rsidTr="00435D58"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2CB048" w14:textId="77777777" w:rsidR="00E927ED" w:rsidRPr="00250CCD" w:rsidRDefault="00E927ED" w:rsidP="00435D58">
            <w:pPr>
              <w:ind w:right="-60"/>
              <w:jc w:val="both"/>
              <w:rPr>
                <w:rFonts w:ascii="Arial" w:hAnsi="Arial" w:cs="Arial"/>
                <w:lang w:val="pt-BR"/>
              </w:rPr>
            </w:pPr>
            <w:r w:rsidRPr="00E927ED">
              <w:rPr>
                <w:rFonts w:ascii="Arial" w:hAnsi="Arial" w:cs="Arial"/>
                <w:caps/>
                <w:sz w:val="22"/>
              </w:rPr>
              <w:t xml:space="preserve">Silva, J.M.F., Al Rwahnih, M., Blawid, R., Nagata, N., Fajardo, T.V.M. </w:t>
            </w:r>
            <w:r w:rsidRPr="00E927ED">
              <w:rPr>
                <w:rFonts w:ascii="Arial" w:hAnsi="Arial" w:cs="Arial"/>
                <w:sz w:val="22"/>
              </w:rPr>
              <w:t xml:space="preserve">Discovery and molecular characterization of a novel enamovirus, Grapevine enamovirus-1. </w:t>
            </w:r>
            <w:r w:rsidRPr="00E927ED">
              <w:rPr>
                <w:rFonts w:ascii="Arial" w:hAnsi="Arial" w:cs="Arial"/>
                <w:sz w:val="22"/>
                <w:lang w:val="pt-BR"/>
              </w:rPr>
              <w:t>Virus Genes</w:t>
            </w:r>
            <w:r>
              <w:rPr>
                <w:rFonts w:ascii="Arial" w:hAnsi="Arial" w:cs="Arial"/>
                <w:sz w:val="22"/>
                <w:lang w:val="pt-BR"/>
              </w:rPr>
              <w:t xml:space="preserve"> 53:667-</w:t>
            </w:r>
            <w:proofErr w:type="gramStart"/>
            <w:r>
              <w:rPr>
                <w:rFonts w:ascii="Arial" w:hAnsi="Arial" w:cs="Arial"/>
                <w:sz w:val="22"/>
                <w:lang w:val="pt-BR"/>
              </w:rPr>
              <w:t xml:space="preserve">671, </w:t>
            </w:r>
            <w:r w:rsidRPr="00E927ED">
              <w:rPr>
                <w:rFonts w:ascii="Arial" w:hAnsi="Arial" w:cs="Arial"/>
                <w:sz w:val="22"/>
                <w:lang w:val="pt-BR"/>
              </w:rPr>
              <w:t xml:space="preserve"> 2017</w:t>
            </w:r>
            <w:proofErr w:type="gramEnd"/>
            <w:r w:rsidRPr="00E927ED">
              <w:rPr>
                <w:rFonts w:ascii="Arial" w:hAnsi="Arial" w:cs="Arial"/>
                <w:sz w:val="22"/>
                <w:lang w:val="pt-BR"/>
              </w:rPr>
              <w:t>.</w:t>
            </w:r>
            <w:r w:rsidRPr="00250CCD">
              <w:rPr>
                <w:rFonts w:ascii="Arial" w:hAnsi="Arial"/>
                <w:spacing w:val="-3"/>
                <w:lang w:val="pt-BR"/>
              </w:rPr>
              <w:t xml:space="preserve"> </w:t>
            </w:r>
          </w:p>
        </w:tc>
      </w:tr>
    </w:tbl>
    <w:p w14:paraId="42E9A2C0" w14:textId="77777777" w:rsidR="00E927ED" w:rsidRPr="006D3CDA" w:rsidRDefault="00E927ED" w:rsidP="006D3CDA">
      <w:pPr>
        <w:jc w:val="both"/>
        <w:rPr>
          <w:rFonts w:ascii="Arial" w:hAnsi="Arial" w:cs="Arial"/>
          <w:sz w:val="32"/>
          <w:lang w:val="en-GB"/>
        </w:rPr>
      </w:pPr>
    </w:p>
    <w:sectPr w:rsidR="00E927ED" w:rsidRPr="006D3CDA" w:rsidSect="00991A82"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E84E3C" w14:textId="77777777" w:rsidR="00E07712" w:rsidRDefault="00E07712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6A83E8B2" w14:textId="77777777" w:rsidR="00E07712" w:rsidRDefault="00E07712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8D46D6" w14:textId="77777777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8C4DF5">
      <w:rPr>
        <w:rFonts w:ascii="Arial" w:hAnsi="Arial" w:cs="Arial"/>
        <w:noProof/>
        <w:color w:val="808080"/>
        <w:sz w:val="20"/>
      </w:rPr>
      <w:t>2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8C4DF5">
      <w:rPr>
        <w:rFonts w:ascii="Arial" w:hAnsi="Arial" w:cs="Arial"/>
        <w:noProof/>
        <w:color w:val="808080"/>
        <w:sz w:val="20"/>
      </w:rPr>
      <w:t>6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651D71" w14:textId="77777777" w:rsidR="00E07712" w:rsidRDefault="00E07712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4DA80508" w14:textId="77777777" w:rsidR="00E07712" w:rsidRDefault="00E07712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2DB238" w14:textId="77777777" w:rsidR="007E6C07" w:rsidRPr="00F369A4" w:rsidRDefault="007E6C07" w:rsidP="00802D02">
    <w:pPr>
      <w:pStyle w:val="Header"/>
      <w:jc w:val="right"/>
      <w:rPr>
        <w:rFonts w:ascii="Calibri" w:hAnsi="Calibri"/>
        <w:sz w:val="22"/>
        <w:szCs w:val="22"/>
      </w:rPr>
    </w:pPr>
    <w:r w:rsidRPr="00F369A4">
      <w:rPr>
        <w:rFonts w:ascii="Calibri" w:hAnsi="Calibri"/>
        <w:sz w:val="22"/>
        <w:szCs w:val="22"/>
      </w:rPr>
      <w:t>1</w:t>
    </w:r>
    <w:r w:rsidR="00104A4B">
      <w:rPr>
        <w:rFonts w:ascii="Calibri" w:hAnsi="Calibri"/>
        <w:sz w:val="22"/>
        <w:szCs w:val="22"/>
      </w:rPr>
      <w:t>8</w:t>
    </w:r>
    <w:r w:rsidRPr="00F369A4">
      <w:rPr>
        <w:rFonts w:ascii="Calibri" w:hAnsi="Calibri"/>
        <w:sz w:val="22"/>
        <w:szCs w:val="22"/>
      </w:rPr>
      <w:t>Feb2017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4E1C1B"/>
    <w:multiLevelType w:val="hybridMultilevel"/>
    <w:tmpl w:val="1B6445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9"/>
  </w:num>
  <w:num w:numId="4">
    <w:abstractNumId w:val="6"/>
  </w:num>
  <w:num w:numId="5">
    <w:abstractNumId w:val="20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1"/>
  </w:num>
  <w:num w:numId="13">
    <w:abstractNumId w:val="17"/>
  </w:num>
  <w:num w:numId="14">
    <w:abstractNumId w:val="22"/>
  </w:num>
  <w:num w:numId="15">
    <w:abstractNumId w:val="23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4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85"/>
    <w:rsid w:val="00004F39"/>
    <w:rsid w:val="00016519"/>
    <w:rsid w:val="00024051"/>
    <w:rsid w:val="000315E5"/>
    <w:rsid w:val="00032B1C"/>
    <w:rsid w:val="00034DE5"/>
    <w:rsid w:val="000360CB"/>
    <w:rsid w:val="000420CB"/>
    <w:rsid w:val="0004304B"/>
    <w:rsid w:val="00051249"/>
    <w:rsid w:val="00072CC5"/>
    <w:rsid w:val="00093DD3"/>
    <w:rsid w:val="000A6DE3"/>
    <w:rsid w:val="000A7F1C"/>
    <w:rsid w:val="000C0126"/>
    <w:rsid w:val="000C32A9"/>
    <w:rsid w:val="000D2F03"/>
    <w:rsid w:val="000F5890"/>
    <w:rsid w:val="000F5A87"/>
    <w:rsid w:val="00100092"/>
    <w:rsid w:val="00104A4B"/>
    <w:rsid w:val="0010595F"/>
    <w:rsid w:val="00114BD4"/>
    <w:rsid w:val="0012008F"/>
    <w:rsid w:val="0012796D"/>
    <w:rsid w:val="00135698"/>
    <w:rsid w:val="00144836"/>
    <w:rsid w:val="001551A8"/>
    <w:rsid w:val="001578A6"/>
    <w:rsid w:val="001664DF"/>
    <w:rsid w:val="0017329D"/>
    <w:rsid w:val="00173983"/>
    <w:rsid w:val="0017739A"/>
    <w:rsid w:val="001800AB"/>
    <w:rsid w:val="001811B7"/>
    <w:rsid w:val="00185699"/>
    <w:rsid w:val="001946B2"/>
    <w:rsid w:val="001B761A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0CCD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E36D5"/>
    <w:rsid w:val="00304104"/>
    <w:rsid w:val="00306A5E"/>
    <w:rsid w:val="00315AEE"/>
    <w:rsid w:val="00322E13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77AE5"/>
    <w:rsid w:val="003972A3"/>
    <w:rsid w:val="003A0BE4"/>
    <w:rsid w:val="003A48CF"/>
    <w:rsid w:val="003A4E70"/>
    <w:rsid w:val="003A6C76"/>
    <w:rsid w:val="003B1954"/>
    <w:rsid w:val="003B7125"/>
    <w:rsid w:val="003D08E5"/>
    <w:rsid w:val="003E02C3"/>
    <w:rsid w:val="003E3AB2"/>
    <w:rsid w:val="003E7EEC"/>
    <w:rsid w:val="003F0180"/>
    <w:rsid w:val="00402B0B"/>
    <w:rsid w:val="00404ECA"/>
    <w:rsid w:val="00413670"/>
    <w:rsid w:val="004152C9"/>
    <w:rsid w:val="00422FF0"/>
    <w:rsid w:val="00425EA2"/>
    <w:rsid w:val="0043739B"/>
    <w:rsid w:val="00442EC5"/>
    <w:rsid w:val="004435EC"/>
    <w:rsid w:val="00444E1E"/>
    <w:rsid w:val="004450A3"/>
    <w:rsid w:val="00447321"/>
    <w:rsid w:val="0044774D"/>
    <w:rsid w:val="0047500D"/>
    <w:rsid w:val="004937AC"/>
    <w:rsid w:val="00494623"/>
    <w:rsid w:val="004A350D"/>
    <w:rsid w:val="004A3DAC"/>
    <w:rsid w:val="004A6F2D"/>
    <w:rsid w:val="004B0C50"/>
    <w:rsid w:val="004B0E4B"/>
    <w:rsid w:val="004B5D02"/>
    <w:rsid w:val="004C30A2"/>
    <w:rsid w:val="004C7BA9"/>
    <w:rsid w:val="004D1DAD"/>
    <w:rsid w:val="004D21E1"/>
    <w:rsid w:val="004D5AE7"/>
    <w:rsid w:val="004D748F"/>
    <w:rsid w:val="004F23EA"/>
    <w:rsid w:val="004F771E"/>
    <w:rsid w:val="0050228B"/>
    <w:rsid w:val="00503E8B"/>
    <w:rsid w:val="00505D9F"/>
    <w:rsid w:val="0050662A"/>
    <w:rsid w:val="00514021"/>
    <w:rsid w:val="00516C16"/>
    <w:rsid w:val="00516D9F"/>
    <w:rsid w:val="005201AD"/>
    <w:rsid w:val="00521073"/>
    <w:rsid w:val="00522E71"/>
    <w:rsid w:val="00530EFE"/>
    <w:rsid w:val="00534EED"/>
    <w:rsid w:val="005368BD"/>
    <w:rsid w:val="005764C1"/>
    <w:rsid w:val="00581ED1"/>
    <w:rsid w:val="00591A40"/>
    <w:rsid w:val="005929A4"/>
    <w:rsid w:val="005953F1"/>
    <w:rsid w:val="005A4E81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46A31"/>
    <w:rsid w:val="00650171"/>
    <w:rsid w:val="00692BE3"/>
    <w:rsid w:val="006934CC"/>
    <w:rsid w:val="0069409C"/>
    <w:rsid w:val="006A1735"/>
    <w:rsid w:val="006B2EE7"/>
    <w:rsid w:val="006C4A0C"/>
    <w:rsid w:val="006D1B4E"/>
    <w:rsid w:val="006D3CDA"/>
    <w:rsid w:val="006D59EF"/>
    <w:rsid w:val="006E0B7B"/>
    <w:rsid w:val="006F1ADE"/>
    <w:rsid w:val="006F44A4"/>
    <w:rsid w:val="007016DD"/>
    <w:rsid w:val="00702CCD"/>
    <w:rsid w:val="00704198"/>
    <w:rsid w:val="007135C0"/>
    <w:rsid w:val="00715B64"/>
    <w:rsid w:val="00720D17"/>
    <w:rsid w:val="00720E30"/>
    <w:rsid w:val="00724281"/>
    <w:rsid w:val="00724490"/>
    <w:rsid w:val="00736F49"/>
    <w:rsid w:val="00746025"/>
    <w:rsid w:val="00751194"/>
    <w:rsid w:val="00752D7B"/>
    <w:rsid w:val="007602A2"/>
    <w:rsid w:val="0076759D"/>
    <w:rsid w:val="00774CB4"/>
    <w:rsid w:val="007772C2"/>
    <w:rsid w:val="00786FF9"/>
    <w:rsid w:val="007878DB"/>
    <w:rsid w:val="00792B22"/>
    <w:rsid w:val="0079318D"/>
    <w:rsid w:val="007A5735"/>
    <w:rsid w:val="007C1657"/>
    <w:rsid w:val="007C793A"/>
    <w:rsid w:val="007C7E0E"/>
    <w:rsid w:val="007D246C"/>
    <w:rsid w:val="007D382D"/>
    <w:rsid w:val="007D4C57"/>
    <w:rsid w:val="007D6DB6"/>
    <w:rsid w:val="007E6C07"/>
    <w:rsid w:val="007F5109"/>
    <w:rsid w:val="007F54D5"/>
    <w:rsid w:val="0080060B"/>
    <w:rsid w:val="00800BFD"/>
    <w:rsid w:val="00801148"/>
    <w:rsid w:val="00802D02"/>
    <w:rsid w:val="008071B6"/>
    <w:rsid w:val="008277F3"/>
    <w:rsid w:val="00830785"/>
    <w:rsid w:val="00835B67"/>
    <w:rsid w:val="008418CD"/>
    <w:rsid w:val="00842B58"/>
    <w:rsid w:val="008442CB"/>
    <w:rsid w:val="008655D6"/>
    <w:rsid w:val="00873F13"/>
    <w:rsid w:val="008762E5"/>
    <w:rsid w:val="00890FAF"/>
    <w:rsid w:val="00891C67"/>
    <w:rsid w:val="008B6D5E"/>
    <w:rsid w:val="008C2CC4"/>
    <w:rsid w:val="008C4DF5"/>
    <w:rsid w:val="008C7B86"/>
    <w:rsid w:val="008E10B7"/>
    <w:rsid w:val="008E2333"/>
    <w:rsid w:val="008E4E0F"/>
    <w:rsid w:val="008E736E"/>
    <w:rsid w:val="008F03D2"/>
    <w:rsid w:val="008F4957"/>
    <w:rsid w:val="008F5FB1"/>
    <w:rsid w:val="008F6DE4"/>
    <w:rsid w:val="009062EF"/>
    <w:rsid w:val="009130E9"/>
    <w:rsid w:val="00926A4D"/>
    <w:rsid w:val="00931FF0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3DE5"/>
    <w:rsid w:val="009A6C98"/>
    <w:rsid w:val="009B1712"/>
    <w:rsid w:val="009C1EBB"/>
    <w:rsid w:val="009C463B"/>
    <w:rsid w:val="009D0832"/>
    <w:rsid w:val="009D29FA"/>
    <w:rsid w:val="009E036E"/>
    <w:rsid w:val="009F602F"/>
    <w:rsid w:val="00A03AA4"/>
    <w:rsid w:val="00A11ACF"/>
    <w:rsid w:val="00A14097"/>
    <w:rsid w:val="00A17240"/>
    <w:rsid w:val="00A26EB0"/>
    <w:rsid w:val="00A27567"/>
    <w:rsid w:val="00A36B4E"/>
    <w:rsid w:val="00A43BF2"/>
    <w:rsid w:val="00A52629"/>
    <w:rsid w:val="00A56BC8"/>
    <w:rsid w:val="00A724DF"/>
    <w:rsid w:val="00A77BC1"/>
    <w:rsid w:val="00A80214"/>
    <w:rsid w:val="00A84D14"/>
    <w:rsid w:val="00A91DF9"/>
    <w:rsid w:val="00AA1E2F"/>
    <w:rsid w:val="00AA308A"/>
    <w:rsid w:val="00AA3952"/>
    <w:rsid w:val="00AC0E72"/>
    <w:rsid w:val="00AD11F4"/>
    <w:rsid w:val="00AD3814"/>
    <w:rsid w:val="00AE2858"/>
    <w:rsid w:val="00AF63CD"/>
    <w:rsid w:val="00AF65C7"/>
    <w:rsid w:val="00B04CD6"/>
    <w:rsid w:val="00B0513E"/>
    <w:rsid w:val="00B12A01"/>
    <w:rsid w:val="00B12D76"/>
    <w:rsid w:val="00B216A1"/>
    <w:rsid w:val="00B2254A"/>
    <w:rsid w:val="00B34F6A"/>
    <w:rsid w:val="00B45888"/>
    <w:rsid w:val="00B51372"/>
    <w:rsid w:val="00B5488B"/>
    <w:rsid w:val="00B63708"/>
    <w:rsid w:val="00B63A27"/>
    <w:rsid w:val="00B845E3"/>
    <w:rsid w:val="00B84AA0"/>
    <w:rsid w:val="00B85CF3"/>
    <w:rsid w:val="00B85D62"/>
    <w:rsid w:val="00B86BE8"/>
    <w:rsid w:val="00B91D87"/>
    <w:rsid w:val="00B94E8E"/>
    <w:rsid w:val="00BA3080"/>
    <w:rsid w:val="00BB7D24"/>
    <w:rsid w:val="00BC6B19"/>
    <w:rsid w:val="00BD4541"/>
    <w:rsid w:val="00BD47D7"/>
    <w:rsid w:val="00BE06F9"/>
    <w:rsid w:val="00BE18E9"/>
    <w:rsid w:val="00BF7AA8"/>
    <w:rsid w:val="00BF7EF6"/>
    <w:rsid w:val="00C06EE4"/>
    <w:rsid w:val="00C12C1B"/>
    <w:rsid w:val="00C15EC4"/>
    <w:rsid w:val="00C165C2"/>
    <w:rsid w:val="00C245DB"/>
    <w:rsid w:val="00C3224F"/>
    <w:rsid w:val="00C44DF4"/>
    <w:rsid w:val="00C46C65"/>
    <w:rsid w:val="00C55862"/>
    <w:rsid w:val="00C64F92"/>
    <w:rsid w:val="00C67A98"/>
    <w:rsid w:val="00C75039"/>
    <w:rsid w:val="00C762C9"/>
    <w:rsid w:val="00C80265"/>
    <w:rsid w:val="00C94A0B"/>
    <w:rsid w:val="00CA56E9"/>
    <w:rsid w:val="00CA5D02"/>
    <w:rsid w:val="00CB3A13"/>
    <w:rsid w:val="00CB434C"/>
    <w:rsid w:val="00CB7C39"/>
    <w:rsid w:val="00CE0DE4"/>
    <w:rsid w:val="00CE2AB3"/>
    <w:rsid w:val="00CE408B"/>
    <w:rsid w:val="00CE5ECF"/>
    <w:rsid w:val="00CF3890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437CD"/>
    <w:rsid w:val="00D45CE9"/>
    <w:rsid w:val="00D4648E"/>
    <w:rsid w:val="00D6107E"/>
    <w:rsid w:val="00D614A9"/>
    <w:rsid w:val="00D62298"/>
    <w:rsid w:val="00D642DE"/>
    <w:rsid w:val="00D70DF3"/>
    <w:rsid w:val="00D87539"/>
    <w:rsid w:val="00DA5352"/>
    <w:rsid w:val="00DA5E5A"/>
    <w:rsid w:val="00DA71AC"/>
    <w:rsid w:val="00DA7AE7"/>
    <w:rsid w:val="00DB3CB3"/>
    <w:rsid w:val="00DB4BB2"/>
    <w:rsid w:val="00DC6415"/>
    <w:rsid w:val="00DD00F3"/>
    <w:rsid w:val="00DD65CA"/>
    <w:rsid w:val="00DE105D"/>
    <w:rsid w:val="00DE1FCF"/>
    <w:rsid w:val="00DE21CE"/>
    <w:rsid w:val="00DE3E25"/>
    <w:rsid w:val="00DE73A3"/>
    <w:rsid w:val="00E03681"/>
    <w:rsid w:val="00E07712"/>
    <w:rsid w:val="00E11C94"/>
    <w:rsid w:val="00E11F4F"/>
    <w:rsid w:val="00E347C2"/>
    <w:rsid w:val="00E36F9D"/>
    <w:rsid w:val="00E4413A"/>
    <w:rsid w:val="00E57A0B"/>
    <w:rsid w:val="00E60228"/>
    <w:rsid w:val="00E66C21"/>
    <w:rsid w:val="00E70D33"/>
    <w:rsid w:val="00E73F9A"/>
    <w:rsid w:val="00E927ED"/>
    <w:rsid w:val="00E946A5"/>
    <w:rsid w:val="00E9547F"/>
    <w:rsid w:val="00EA06D0"/>
    <w:rsid w:val="00EA1332"/>
    <w:rsid w:val="00EA5C82"/>
    <w:rsid w:val="00EA6CA5"/>
    <w:rsid w:val="00EB0413"/>
    <w:rsid w:val="00EB5BAF"/>
    <w:rsid w:val="00EC11F1"/>
    <w:rsid w:val="00EC4F18"/>
    <w:rsid w:val="00EC6D50"/>
    <w:rsid w:val="00EC721F"/>
    <w:rsid w:val="00ED375D"/>
    <w:rsid w:val="00EF6615"/>
    <w:rsid w:val="00F00B91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912D1"/>
    <w:rsid w:val="00F93153"/>
    <w:rsid w:val="00F95CC4"/>
    <w:rsid w:val="00F9741E"/>
    <w:rsid w:val="00FA2D02"/>
    <w:rsid w:val="00FA43E3"/>
    <w:rsid w:val="00FC22F7"/>
    <w:rsid w:val="00FC636D"/>
    <w:rsid w:val="00FC66D8"/>
    <w:rsid w:val="00FD1731"/>
    <w:rsid w:val="00FD2097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99DF5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E9547F"/>
    <w:pPr>
      <w:ind w:left="720"/>
      <w:contextualSpacing/>
    </w:pPr>
    <w:rPr>
      <w:rFonts w:ascii="Calibri" w:eastAsia="Calibri" w:hAnsi="Calibri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image" Target="media/image20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1442</Words>
  <Characters>8221</Characters>
  <Application>Microsoft Office Word</Application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Complete sections as applicable</vt:lpstr>
      <vt:lpstr>Complete sections as applicable</vt:lpstr>
    </vt:vector>
  </TitlesOfParts>
  <Company>home</Company>
  <LinksUpToDate>false</LinksUpToDate>
  <CharactersWithSpaces>9644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Peter</cp:lastModifiedBy>
  <cp:revision>3</cp:revision>
  <cp:lastPrinted>2017-01-11T11:49:00Z</cp:lastPrinted>
  <dcterms:created xsi:type="dcterms:W3CDTF">2018-06-21T07:37:00Z</dcterms:created>
  <dcterms:modified xsi:type="dcterms:W3CDTF">2018-12-31T05:04:00Z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