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90D31" w14:textId="77777777" w:rsidR="003F33B7" w:rsidRDefault="00D1088F" w:rsidP="003D0BA6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3690F0D" wp14:editId="03690F0E">
            <wp:simplePos x="0" y="0"/>
            <wp:positionH relativeFrom="column">
              <wp:posOffset>2985770</wp:posOffset>
            </wp:positionH>
            <wp:positionV relativeFrom="paragraph">
              <wp:posOffset>569</wp:posOffset>
            </wp:positionV>
            <wp:extent cx="1223010" cy="752475"/>
            <wp:effectExtent l="0" t="0" r="0" b="0"/>
            <wp:wrapSquare wrapText="bothSides" distT="0" distB="0" distL="114300" distR="11430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690D32" w14:textId="77777777" w:rsidR="003F33B7" w:rsidRDefault="003F33B7">
      <w:pPr>
        <w:rPr>
          <w:rFonts w:ascii="Aptos" w:eastAsia="Aptos" w:hAnsi="Aptos" w:cs="Aptos"/>
          <w:color w:val="0000FF"/>
          <w:sz w:val="20"/>
          <w:szCs w:val="20"/>
        </w:rPr>
      </w:pPr>
    </w:p>
    <w:p w14:paraId="03690D33" w14:textId="77777777" w:rsidR="003F33B7" w:rsidRDefault="003F33B7">
      <w:pPr>
        <w:rPr>
          <w:rFonts w:ascii="Aptos" w:eastAsia="Aptos" w:hAnsi="Aptos" w:cs="Aptos"/>
          <w:color w:val="0000FF"/>
          <w:sz w:val="20"/>
          <w:szCs w:val="20"/>
        </w:rPr>
      </w:pPr>
    </w:p>
    <w:p w14:paraId="03690D34" w14:textId="77777777" w:rsidR="003F33B7" w:rsidRDefault="003F33B7">
      <w:pPr>
        <w:rPr>
          <w:rFonts w:ascii="Aptos" w:eastAsia="Aptos" w:hAnsi="Aptos" w:cs="Aptos"/>
          <w:color w:val="0000FF"/>
          <w:sz w:val="20"/>
          <w:szCs w:val="20"/>
        </w:rPr>
      </w:pPr>
    </w:p>
    <w:p w14:paraId="03690D35" w14:textId="77777777" w:rsidR="003F33B7" w:rsidRDefault="003F33B7">
      <w:pPr>
        <w:rPr>
          <w:rFonts w:ascii="Aptos" w:eastAsia="Aptos" w:hAnsi="Aptos" w:cs="Aptos"/>
          <w:color w:val="0000FF"/>
          <w:sz w:val="20"/>
          <w:szCs w:val="20"/>
        </w:rPr>
      </w:pPr>
    </w:p>
    <w:p w14:paraId="03690D36" w14:textId="77777777" w:rsidR="003F33B7" w:rsidRDefault="003F33B7">
      <w:pPr>
        <w:rPr>
          <w:rFonts w:ascii="Aptos" w:eastAsia="Aptos" w:hAnsi="Aptos" w:cs="Aptos"/>
          <w:color w:val="0000FF"/>
          <w:sz w:val="20"/>
          <w:szCs w:val="20"/>
        </w:rPr>
      </w:pPr>
    </w:p>
    <w:p w14:paraId="03690D37" w14:textId="77777777" w:rsidR="003F33B7" w:rsidRDefault="00D1088F">
      <w:pPr>
        <w:jc w:val="center"/>
        <w:rPr>
          <w:rFonts w:ascii="Aptos SemiBold" w:eastAsia="Aptos SemiBold" w:hAnsi="Aptos SemiBold" w:cs="Aptos SemiBold"/>
          <w:color w:val="000000"/>
        </w:rPr>
      </w:pPr>
      <w:r>
        <w:rPr>
          <w:rFonts w:ascii="Aptos SemiBold" w:eastAsia="Aptos SemiBold" w:hAnsi="Aptos SemiBold" w:cs="Aptos SemiBold"/>
          <w:color w:val="000000"/>
        </w:rPr>
        <w:t>The International Committee on Taxonomy of Viruses</w:t>
      </w:r>
    </w:p>
    <w:p w14:paraId="03690D38" w14:textId="77777777" w:rsidR="003F33B7" w:rsidRDefault="00D1088F">
      <w:pPr>
        <w:jc w:val="center"/>
        <w:rPr>
          <w:rFonts w:ascii="Aptos SemiBold" w:eastAsia="Aptos SemiBold" w:hAnsi="Aptos SemiBold" w:cs="Aptos SemiBold"/>
          <w:color w:val="000000"/>
        </w:rPr>
      </w:pPr>
      <w:r>
        <w:rPr>
          <w:rFonts w:ascii="Aptos SemiBold" w:eastAsia="Aptos SemiBold" w:hAnsi="Aptos SemiBold" w:cs="Aptos SemiBold"/>
          <w:color w:val="000000"/>
        </w:rPr>
        <w:t xml:space="preserve">Taxonomy Proposal Form, 2025 </w:t>
      </w:r>
    </w:p>
    <w:p w14:paraId="03690D39" w14:textId="77777777" w:rsidR="003F33B7" w:rsidRDefault="003F33B7">
      <w:pPr>
        <w:rPr>
          <w:rFonts w:ascii="Aptos SemiBold" w:eastAsia="Aptos SemiBold" w:hAnsi="Aptos SemiBold" w:cs="Aptos SemiBold"/>
          <w:color w:val="0000FF"/>
        </w:rPr>
      </w:pPr>
    </w:p>
    <w:p w14:paraId="03690D3A" w14:textId="77777777" w:rsidR="003F33B7" w:rsidRDefault="003F33B7">
      <w:pPr>
        <w:rPr>
          <w:rFonts w:ascii="Aptos" w:eastAsia="Aptos" w:hAnsi="Aptos" w:cs="Aptos"/>
          <w:color w:val="0000FF"/>
          <w:sz w:val="20"/>
          <w:szCs w:val="20"/>
        </w:rPr>
      </w:pPr>
    </w:p>
    <w:p w14:paraId="03690D47" w14:textId="01ED9293" w:rsidR="003F33B7" w:rsidRDefault="003F33B7">
      <w:pPr>
        <w:rPr>
          <w:rFonts w:ascii="Aptos" w:eastAsia="Aptos" w:hAnsi="Aptos" w:cs="Aptos"/>
          <w:b/>
          <w:color w:val="000000"/>
          <w:sz w:val="20"/>
          <w:szCs w:val="20"/>
        </w:rPr>
      </w:pPr>
      <w:r>
        <w:rPr>
          <w:rFonts w:ascii="Aptos" w:eastAsia="Aptos" w:hAnsi="Aptos" w:cs="Aptos"/>
          <w:b/>
          <w:color w:val="000000"/>
          <w:sz w:val="20"/>
          <w:szCs w:val="20"/>
        </w:rPr>
        <w:t>Part 1a: Details of taxonomy proposals</w:t>
      </w:r>
    </w:p>
    <w:p w14:paraId="03690D48" w14:textId="77777777" w:rsidR="003F33B7" w:rsidRDefault="003F33B7">
      <w:pPr>
        <w:rPr>
          <w:rFonts w:ascii="Aptos" w:eastAsia="Aptos" w:hAnsi="Aptos" w:cs="Aptos"/>
          <w:sz w:val="20"/>
          <w:szCs w:val="20"/>
        </w:rPr>
      </w:pPr>
    </w:p>
    <w:tbl>
      <w:tblPr>
        <w:tblStyle w:val="a"/>
        <w:tblW w:w="9224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3"/>
        <w:gridCol w:w="7361"/>
        <w:gridCol w:w="10"/>
      </w:tblGrid>
      <w:tr w:rsidR="003F33B7" w14:paraId="03690D4B" w14:textId="77777777">
        <w:trPr>
          <w:gridAfter w:val="1"/>
          <w:wAfter w:w="10" w:type="dxa"/>
        </w:trPr>
        <w:tc>
          <w:tcPr>
            <w:tcW w:w="1853" w:type="dxa"/>
            <w:shd w:val="clear" w:color="auto" w:fill="F2F2F2"/>
            <w:vAlign w:val="center"/>
          </w:tcPr>
          <w:p w14:paraId="03690D49" w14:textId="77777777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Title:   </w:t>
            </w:r>
          </w:p>
        </w:tc>
        <w:tc>
          <w:tcPr>
            <w:tcW w:w="7361" w:type="dxa"/>
            <w:vAlign w:val="center"/>
          </w:tcPr>
          <w:p w14:paraId="03690D4A" w14:textId="77777777" w:rsidR="003F33B7" w:rsidRDefault="00D1088F">
            <w:pPr>
              <w:rPr>
                <w:rFonts w:ascii="Aptos" w:eastAsia="Aptos" w:hAnsi="Aptos" w:cs="Aptos"/>
                <w:i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Create one new species in the genus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Tequintavirus</w:t>
            </w:r>
          </w:p>
        </w:tc>
      </w:tr>
      <w:tr w:rsidR="003F33B7" w14:paraId="03690D4E" w14:textId="77777777">
        <w:tc>
          <w:tcPr>
            <w:tcW w:w="1853" w:type="dxa"/>
            <w:shd w:val="clear" w:color="auto" w:fill="F2F2F2"/>
            <w:vAlign w:val="center"/>
          </w:tcPr>
          <w:p w14:paraId="03690D4C" w14:textId="77777777" w:rsidR="003F33B7" w:rsidRDefault="00D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03690D4D" w14:textId="6DA58509" w:rsidR="003F33B7" w:rsidRPr="00D1088F" w:rsidRDefault="00D1088F" w:rsidP="00D1088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2025.076B.</w:t>
            </w:r>
            <w:r w:rsidR="003D0BA6">
              <w:rPr>
                <w:rFonts w:ascii="Aptos Narrow" w:hAnsi="Aptos Narrow"/>
                <w:color w:val="000000"/>
                <w:sz w:val="22"/>
                <w:szCs w:val="22"/>
              </w:rPr>
              <w:t>A.v2.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Tequintavirus_1ns</w:t>
            </w:r>
          </w:p>
        </w:tc>
      </w:tr>
    </w:tbl>
    <w:p w14:paraId="03690D4F" w14:textId="77777777" w:rsidR="003F33B7" w:rsidRDefault="003F33B7">
      <w:pPr>
        <w:rPr>
          <w:rFonts w:ascii="Aptos" w:eastAsia="Aptos" w:hAnsi="Aptos" w:cs="Aptos"/>
          <w:b/>
          <w:color w:val="C00000"/>
          <w:sz w:val="20"/>
          <w:szCs w:val="20"/>
        </w:rPr>
      </w:pPr>
    </w:p>
    <w:tbl>
      <w:tblPr>
        <w:tblStyle w:val="a0"/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3F33B7" w14:paraId="03690D51" w14:textId="77777777">
        <w:trPr>
          <w:trHeight w:val="173"/>
        </w:trPr>
        <w:tc>
          <w:tcPr>
            <w:tcW w:w="9323" w:type="dxa"/>
            <w:gridSpan w:val="5"/>
            <w:shd w:val="clear" w:color="auto" w:fill="F2F2F2"/>
          </w:tcPr>
          <w:p w14:paraId="03690D50" w14:textId="72FB7C29" w:rsidR="003F33B7" w:rsidRDefault="00D1088F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Author(s), affiliation and email address(es):  </w:t>
            </w:r>
          </w:p>
        </w:tc>
      </w:tr>
      <w:tr w:rsidR="003F33B7" w14:paraId="03690D58" w14:textId="77777777">
        <w:trPr>
          <w:trHeight w:val="411"/>
        </w:trPr>
        <w:tc>
          <w:tcPr>
            <w:tcW w:w="1838" w:type="dxa"/>
            <w:shd w:val="clear" w:color="auto" w:fill="F2F2F2"/>
            <w:vAlign w:val="center"/>
          </w:tcPr>
          <w:p w14:paraId="03690D52" w14:textId="77777777" w:rsidR="003F33B7" w:rsidRDefault="007655C2">
            <w:pPr>
              <w:rPr>
                <w:rFonts w:ascii="Aptos" w:eastAsia="Aptos" w:hAnsi="Aptos" w:cs="Aptos"/>
                <w:sz w:val="18"/>
                <w:szCs w:val="18"/>
              </w:rPr>
            </w:pPr>
            <w:sdt>
              <w:sdtPr>
                <w:tag w:val="goog_rdk_0"/>
                <w:id w:val="551192"/>
              </w:sdtPr>
              <w:sdtEndPr/>
              <w:sdtContent/>
            </w:sdt>
            <w:r w:rsidR="00D1088F">
              <w:rPr>
                <w:rFonts w:ascii="Aptos" w:eastAsia="Aptos" w:hAnsi="Aptos" w:cs="Aptos"/>
                <w:b/>
                <w:sz w:val="20"/>
                <w:szCs w:val="20"/>
              </w:rPr>
              <w:t>Given name (+middle initial(s))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3690D53" w14:textId="77777777" w:rsidR="003F33B7" w:rsidRDefault="00D1088F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03690D54" w14:textId="68D43B6F" w:rsidR="003F33B7" w:rsidRDefault="00D1088F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Affiliation 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03690D55" w14:textId="2875CF17" w:rsidR="003F33B7" w:rsidRDefault="00D1088F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/>
            <w:vAlign w:val="center"/>
          </w:tcPr>
          <w:p w14:paraId="03690D56" w14:textId="77777777" w:rsidR="003F33B7" w:rsidRDefault="00D1088F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Corr. author(s)  </w:t>
            </w:r>
          </w:p>
          <w:p w14:paraId="03690D57" w14:textId="1F6D341E" w:rsidR="003F33B7" w:rsidRDefault="003F33B7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</w:tr>
      <w:tr w:rsidR="003F33B7" w14:paraId="03690D5F" w14:textId="77777777">
        <w:tc>
          <w:tcPr>
            <w:tcW w:w="1838" w:type="dxa"/>
            <w:shd w:val="clear" w:color="auto" w:fill="FFFFFF"/>
            <w:vAlign w:val="center"/>
          </w:tcPr>
          <w:p w14:paraId="03690D59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color w:val="000000"/>
                <w:sz w:val="20"/>
                <w:szCs w:val="20"/>
              </w:rPr>
              <w:t>Emilia Andrea V.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3690D5A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Sabban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3690D5B" w14:textId="77777777" w:rsidR="003F33B7" w:rsidRPr="003D0BA6" w:rsidRDefault="00D1088F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Department of Science and Technology, Industrial Technology Development Institute, Taguig City, Philippines</w:t>
            </w:r>
          </w:p>
          <w:p w14:paraId="03690D5C" w14:textId="77777777" w:rsidR="003F33B7" w:rsidRPr="003D0BA6" w:rsidRDefault="003F33B7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3690D5D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dost.eavsabban@gmail.com</w:t>
            </w:r>
          </w:p>
        </w:tc>
        <w:tc>
          <w:tcPr>
            <w:tcW w:w="1106" w:type="dxa"/>
            <w:shd w:val="clear" w:color="auto" w:fill="FFFFFF"/>
            <w:vAlign w:val="center"/>
          </w:tcPr>
          <w:p w14:paraId="03690D5E" w14:textId="77777777" w:rsidR="003F33B7" w:rsidRPr="003D0BA6" w:rsidRDefault="00D1088F">
            <w:pPr>
              <w:jc w:val="center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X</w:t>
            </w:r>
          </w:p>
        </w:tc>
      </w:tr>
      <w:tr w:rsidR="003F33B7" w14:paraId="03690D65" w14:textId="77777777">
        <w:tc>
          <w:tcPr>
            <w:tcW w:w="1838" w:type="dxa"/>
            <w:vAlign w:val="center"/>
          </w:tcPr>
          <w:p w14:paraId="03690D60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color w:val="000000"/>
                <w:sz w:val="20"/>
                <w:szCs w:val="20"/>
              </w:rPr>
              <w:t>Stephen Kyle C.</w:t>
            </w:r>
          </w:p>
        </w:tc>
        <w:tc>
          <w:tcPr>
            <w:tcW w:w="1418" w:type="dxa"/>
            <w:vAlign w:val="center"/>
          </w:tcPr>
          <w:p w14:paraId="03690D61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Arcan</w:t>
            </w:r>
          </w:p>
        </w:tc>
        <w:tc>
          <w:tcPr>
            <w:tcW w:w="2835" w:type="dxa"/>
            <w:vAlign w:val="center"/>
          </w:tcPr>
          <w:p w14:paraId="03690D62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Department of Science and Technology, Industrial Technology Development Institute, Taguig City, Philippines</w:t>
            </w:r>
          </w:p>
        </w:tc>
        <w:tc>
          <w:tcPr>
            <w:tcW w:w="2126" w:type="dxa"/>
            <w:vAlign w:val="center"/>
          </w:tcPr>
          <w:p w14:paraId="03690D63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color w:val="1F1F1F"/>
                <w:sz w:val="18"/>
                <w:szCs w:val="18"/>
                <w:highlight w:val="white"/>
              </w:rPr>
              <w:t>arcan.stephenkyle@gmail.com</w:t>
            </w:r>
          </w:p>
        </w:tc>
        <w:tc>
          <w:tcPr>
            <w:tcW w:w="1106" w:type="dxa"/>
            <w:vAlign w:val="center"/>
          </w:tcPr>
          <w:p w14:paraId="03690D64" w14:textId="77777777" w:rsidR="003F33B7" w:rsidRPr="003D0BA6" w:rsidRDefault="003F33B7">
            <w:pPr>
              <w:jc w:val="center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</w:tr>
      <w:tr w:rsidR="003F33B7" w14:paraId="03690D6B" w14:textId="77777777">
        <w:tc>
          <w:tcPr>
            <w:tcW w:w="1838" w:type="dxa"/>
            <w:vAlign w:val="center"/>
          </w:tcPr>
          <w:p w14:paraId="03690D66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color w:val="000000"/>
                <w:sz w:val="20"/>
                <w:szCs w:val="20"/>
              </w:rPr>
              <w:t>Adonis N.</w:t>
            </w:r>
          </w:p>
        </w:tc>
        <w:tc>
          <w:tcPr>
            <w:tcW w:w="1418" w:type="dxa"/>
            <w:vAlign w:val="center"/>
          </w:tcPr>
          <w:p w14:paraId="03690D67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Eclipse</w:t>
            </w:r>
          </w:p>
        </w:tc>
        <w:tc>
          <w:tcPr>
            <w:tcW w:w="2835" w:type="dxa"/>
            <w:vAlign w:val="center"/>
          </w:tcPr>
          <w:p w14:paraId="03690D68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Department of Science and Technology, Industrial Technology Development Institute, Taguig City, Philippines</w:t>
            </w:r>
          </w:p>
        </w:tc>
        <w:tc>
          <w:tcPr>
            <w:tcW w:w="2126" w:type="dxa"/>
            <w:vAlign w:val="center"/>
          </w:tcPr>
          <w:p w14:paraId="03690D69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18"/>
                <w:szCs w:val="18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  <w:highlight w:val="white"/>
              </w:rPr>
              <w:t>aneclipse1@gmail.com</w:t>
            </w:r>
          </w:p>
        </w:tc>
        <w:tc>
          <w:tcPr>
            <w:tcW w:w="1106" w:type="dxa"/>
            <w:vAlign w:val="center"/>
          </w:tcPr>
          <w:p w14:paraId="03690D6A" w14:textId="77777777" w:rsidR="003F33B7" w:rsidRPr="003D0BA6" w:rsidRDefault="003F33B7">
            <w:pPr>
              <w:jc w:val="center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</w:tr>
      <w:tr w:rsidR="003F33B7" w14:paraId="03690D71" w14:textId="77777777">
        <w:tc>
          <w:tcPr>
            <w:tcW w:w="1838" w:type="dxa"/>
            <w:vAlign w:val="center"/>
          </w:tcPr>
          <w:p w14:paraId="03690D6C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Dexter Bryan L. </w:t>
            </w:r>
          </w:p>
        </w:tc>
        <w:tc>
          <w:tcPr>
            <w:tcW w:w="1418" w:type="dxa"/>
            <w:vAlign w:val="center"/>
          </w:tcPr>
          <w:p w14:paraId="03690D6D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Esliza</w:t>
            </w:r>
          </w:p>
        </w:tc>
        <w:tc>
          <w:tcPr>
            <w:tcW w:w="2835" w:type="dxa"/>
            <w:vAlign w:val="center"/>
          </w:tcPr>
          <w:p w14:paraId="03690D6E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Department of Science and Technology, Industrial Technology Development Institute, Taguig City, Philippines</w:t>
            </w:r>
          </w:p>
        </w:tc>
        <w:tc>
          <w:tcPr>
            <w:tcW w:w="2126" w:type="dxa"/>
            <w:vAlign w:val="center"/>
          </w:tcPr>
          <w:p w14:paraId="03690D6F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18"/>
                <w:szCs w:val="18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  <w:highlight w:val="white"/>
              </w:rPr>
              <w:t>dlesliza@gmail.com</w:t>
            </w:r>
          </w:p>
        </w:tc>
        <w:tc>
          <w:tcPr>
            <w:tcW w:w="1106" w:type="dxa"/>
            <w:vAlign w:val="center"/>
          </w:tcPr>
          <w:p w14:paraId="03690D70" w14:textId="77777777" w:rsidR="003F33B7" w:rsidRPr="003D0BA6" w:rsidRDefault="003F33B7">
            <w:pPr>
              <w:jc w:val="center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</w:tr>
      <w:tr w:rsidR="003F33B7" w14:paraId="03690D77" w14:textId="77777777">
        <w:tc>
          <w:tcPr>
            <w:tcW w:w="1838" w:type="dxa"/>
            <w:vAlign w:val="center"/>
          </w:tcPr>
          <w:p w14:paraId="03690D72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Paul Jeremy C. </w:t>
            </w:r>
          </w:p>
        </w:tc>
        <w:tc>
          <w:tcPr>
            <w:tcW w:w="1418" w:type="dxa"/>
            <w:vAlign w:val="center"/>
          </w:tcPr>
          <w:p w14:paraId="03690D73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Lanete</w:t>
            </w:r>
          </w:p>
        </w:tc>
        <w:tc>
          <w:tcPr>
            <w:tcW w:w="2835" w:type="dxa"/>
            <w:vAlign w:val="center"/>
          </w:tcPr>
          <w:p w14:paraId="03690D74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Department of Science and Technology, Industrial Technology Development Institute, Taguig City, Philippines</w:t>
            </w:r>
          </w:p>
        </w:tc>
        <w:tc>
          <w:tcPr>
            <w:tcW w:w="2126" w:type="dxa"/>
            <w:vAlign w:val="center"/>
          </w:tcPr>
          <w:p w14:paraId="03690D75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pjclanete@gmail.com</w:t>
            </w:r>
          </w:p>
        </w:tc>
        <w:tc>
          <w:tcPr>
            <w:tcW w:w="1106" w:type="dxa"/>
            <w:vAlign w:val="center"/>
          </w:tcPr>
          <w:p w14:paraId="03690D76" w14:textId="77777777" w:rsidR="003F33B7" w:rsidRPr="003D0BA6" w:rsidRDefault="003F33B7">
            <w:pPr>
              <w:jc w:val="center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</w:tr>
      <w:tr w:rsidR="003F33B7" w14:paraId="03690D7D" w14:textId="77777777">
        <w:tc>
          <w:tcPr>
            <w:tcW w:w="1838" w:type="dxa"/>
            <w:vAlign w:val="center"/>
          </w:tcPr>
          <w:p w14:paraId="03690D78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Lindley C. </w:t>
            </w:r>
          </w:p>
        </w:tc>
        <w:tc>
          <w:tcPr>
            <w:tcW w:w="1418" w:type="dxa"/>
            <w:vAlign w:val="center"/>
          </w:tcPr>
          <w:p w14:paraId="03690D79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Susi</w:t>
            </w:r>
          </w:p>
        </w:tc>
        <w:tc>
          <w:tcPr>
            <w:tcW w:w="2835" w:type="dxa"/>
            <w:vAlign w:val="center"/>
          </w:tcPr>
          <w:p w14:paraId="03690D7A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Department of Science and Technology, Science Education Institute, Taguig City, Philippines</w:t>
            </w:r>
          </w:p>
        </w:tc>
        <w:tc>
          <w:tcPr>
            <w:tcW w:w="2126" w:type="dxa"/>
            <w:vAlign w:val="center"/>
          </w:tcPr>
          <w:p w14:paraId="03690D7B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lindleysusi@gmail.com</w:t>
            </w:r>
          </w:p>
        </w:tc>
        <w:tc>
          <w:tcPr>
            <w:tcW w:w="1106" w:type="dxa"/>
            <w:vAlign w:val="center"/>
          </w:tcPr>
          <w:p w14:paraId="03690D7C" w14:textId="77777777" w:rsidR="003F33B7" w:rsidRPr="003D0BA6" w:rsidRDefault="003F33B7">
            <w:pPr>
              <w:jc w:val="center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</w:tr>
      <w:tr w:rsidR="003F33B7" w14:paraId="03690D83" w14:textId="77777777">
        <w:trPr>
          <w:trHeight w:val="63"/>
        </w:trPr>
        <w:tc>
          <w:tcPr>
            <w:tcW w:w="1838" w:type="dxa"/>
            <w:vAlign w:val="center"/>
          </w:tcPr>
          <w:p w14:paraId="03690D7E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color w:val="000000"/>
                <w:sz w:val="20"/>
                <w:szCs w:val="20"/>
              </w:rPr>
              <w:t>Gelito Joseph M.</w:t>
            </w:r>
          </w:p>
        </w:tc>
        <w:tc>
          <w:tcPr>
            <w:tcW w:w="1418" w:type="dxa"/>
            <w:vAlign w:val="center"/>
          </w:tcPr>
          <w:p w14:paraId="03690D7F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Sikat</w:t>
            </w:r>
          </w:p>
        </w:tc>
        <w:tc>
          <w:tcPr>
            <w:tcW w:w="2835" w:type="dxa"/>
            <w:vAlign w:val="center"/>
          </w:tcPr>
          <w:p w14:paraId="03690D80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Department of Science and Technology, Industrial Technology Development Institute, Taguig City, Philippines</w:t>
            </w:r>
          </w:p>
        </w:tc>
        <w:tc>
          <w:tcPr>
            <w:tcW w:w="2126" w:type="dxa"/>
            <w:vAlign w:val="center"/>
          </w:tcPr>
          <w:p w14:paraId="03690D81" w14:textId="77777777" w:rsidR="003F33B7" w:rsidRPr="003D0BA6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gjmsikat@itdi.dost.gov.ph</w:t>
            </w:r>
          </w:p>
        </w:tc>
        <w:tc>
          <w:tcPr>
            <w:tcW w:w="1106" w:type="dxa"/>
            <w:vAlign w:val="center"/>
          </w:tcPr>
          <w:p w14:paraId="03690D82" w14:textId="77777777" w:rsidR="003F33B7" w:rsidRPr="003D0BA6" w:rsidRDefault="00D1088F">
            <w:pPr>
              <w:jc w:val="center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 w:rsidRPr="003D0BA6">
              <w:rPr>
                <w:rFonts w:ascii="Aptos" w:eastAsia="Aptos" w:hAnsi="Aptos" w:cs="Aptos"/>
                <w:sz w:val="18"/>
                <w:szCs w:val="18"/>
              </w:rPr>
              <w:t>X</w:t>
            </w:r>
          </w:p>
        </w:tc>
      </w:tr>
      <w:tr w:rsidR="003F33B7" w14:paraId="03690D89" w14:textId="77777777">
        <w:trPr>
          <w:trHeight w:val="63"/>
        </w:trPr>
        <w:tc>
          <w:tcPr>
            <w:tcW w:w="1838" w:type="dxa"/>
            <w:vAlign w:val="center"/>
          </w:tcPr>
          <w:p w14:paraId="03690D84" w14:textId="77777777" w:rsidR="003F33B7" w:rsidRDefault="003F33B7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690D85" w14:textId="77777777" w:rsidR="003F33B7" w:rsidRDefault="003F33B7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3690D86" w14:textId="77777777" w:rsidR="003F33B7" w:rsidRDefault="003F33B7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3690D87" w14:textId="77777777" w:rsidR="003F33B7" w:rsidRDefault="003F33B7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03690D88" w14:textId="77777777" w:rsidR="003F33B7" w:rsidRDefault="003F33B7">
            <w:pPr>
              <w:jc w:val="center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</w:tr>
    </w:tbl>
    <w:p w14:paraId="03690D8A" w14:textId="77777777" w:rsidR="003F33B7" w:rsidRDefault="003F33B7">
      <w:pPr>
        <w:rPr>
          <w:rFonts w:ascii="Aptos" w:eastAsia="Aptos" w:hAnsi="Aptos" w:cs="Aptos"/>
          <w:b/>
          <w:sz w:val="20"/>
          <w:szCs w:val="20"/>
        </w:rPr>
      </w:pPr>
    </w:p>
    <w:p w14:paraId="03690D8B" w14:textId="77777777" w:rsidR="003F33B7" w:rsidRDefault="00D1088F">
      <w:pPr>
        <w:rPr>
          <w:rFonts w:ascii="Aptos" w:eastAsia="Aptos" w:hAnsi="Aptos" w:cs="Aptos"/>
          <w:b/>
          <w:color w:val="000000"/>
          <w:sz w:val="20"/>
          <w:szCs w:val="20"/>
        </w:rPr>
      </w:pPr>
      <w:r>
        <w:br w:type="page"/>
      </w:r>
    </w:p>
    <w:p w14:paraId="03690D8C" w14:textId="41B64025" w:rsidR="003F33B7" w:rsidRDefault="00D1088F">
      <w:pPr>
        <w:spacing w:before="120" w:after="120"/>
        <w:rPr>
          <w:rFonts w:ascii="Aptos" w:eastAsia="Aptos" w:hAnsi="Aptos" w:cs="Aptos"/>
          <w:b/>
          <w:sz w:val="20"/>
          <w:szCs w:val="20"/>
        </w:rPr>
      </w:pPr>
      <w:r>
        <w:rPr>
          <w:rFonts w:ascii="Aptos" w:eastAsia="Aptos" w:hAnsi="Aptos" w:cs="Aptos"/>
          <w:b/>
          <w:sz w:val="20"/>
          <w:szCs w:val="20"/>
        </w:rPr>
        <w:lastRenderedPageBreak/>
        <w:t xml:space="preserve">Part 1b: Taxonomy Proposal Submission </w:t>
      </w:r>
    </w:p>
    <w:tbl>
      <w:tblPr>
        <w:tblStyle w:val="a1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5"/>
        <w:gridCol w:w="284"/>
        <w:gridCol w:w="3920"/>
        <w:gridCol w:w="336"/>
      </w:tblGrid>
      <w:tr w:rsidR="003F33B7" w14:paraId="03690D8E" w14:textId="77777777">
        <w:tc>
          <w:tcPr>
            <w:tcW w:w="8505" w:type="dxa"/>
            <w:gridSpan w:val="4"/>
            <w:shd w:val="clear" w:color="auto" w:fill="F2F2F2"/>
          </w:tcPr>
          <w:p w14:paraId="03690D8D" w14:textId="76EC8C80" w:rsidR="003F33B7" w:rsidRDefault="00D1088F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ICTV Subcommittee: </w:t>
            </w:r>
          </w:p>
        </w:tc>
      </w:tr>
      <w:tr w:rsidR="003F33B7" w14:paraId="03690D93" w14:textId="77777777">
        <w:tc>
          <w:tcPr>
            <w:tcW w:w="3965" w:type="dxa"/>
          </w:tcPr>
          <w:p w14:paraId="03690D8F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Animal DNA Viruses and Retroviruses</w:t>
            </w:r>
          </w:p>
        </w:tc>
        <w:tc>
          <w:tcPr>
            <w:tcW w:w="284" w:type="dxa"/>
          </w:tcPr>
          <w:p w14:paraId="03690D90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</w:tcPr>
          <w:p w14:paraId="03690D91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Bacterial viruses</w:t>
            </w:r>
          </w:p>
        </w:tc>
        <w:tc>
          <w:tcPr>
            <w:tcW w:w="336" w:type="dxa"/>
          </w:tcPr>
          <w:p w14:paraId="03690D92" w14:textId="77777777" w:rsidR="003F33B7" w:rsidRDefault="00D1088F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3F33B7" w14:paraId="03690D98" w14:textId="77777777">
        <w:tc>
          <w:tcPr>
            <w:tcW w:w="3965" w:type="dxa"/>
          </w:tcPr>
          <w:p w14:paraId="03690D94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Animal minus-strand and dsRNA viruses</w:t>
            </w:r>
          </w:p>
        </w:tc>
        <w:tc>
          <w:tcPr>
            <w:tcW w:w="284" w:type="dxa"/>
          </w:tcPr>
          <w:p w14:paraId="03690D95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</w:tcPr>
          <w:p w14:paraId="03690D96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Fungal and protist viruses</w:t>
            </w:r>
          </w:p>
        </w:tc>
        <w:tc>
          <w:tcPr>
            <w:tcW w:w="336" w:type="dxa"/>
          </w:tcPr>
          <w:p w14:paraId="03690D97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3F33B7" w14:paraId="03690D9D" w14:textId="77777777">
        <w:tc>
          <w:tcPr>
            <w:tcW w:w="3965" w:type="dxa"/>
          </w:tcPr>
          <w:p w14:paraId="03690D99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Animal positive-strand RNA viruses</w:t>
            </w:r>
          </w:p>
        </w:tc>
        <w:tc>
          <w:tcPr>
            <w:tcW w:w="284" w:type="dxa"/>
          </w:tcPr>
          <w:p w14:paraId="03690D9A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</w:tcPr>
          <w:p w14:paraId="03690D9B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Plant viruses</w:t>
            </w:r>
          </w:p>
        </w:tc>
        <w:tc>
          <w:tcPr>
            <w:tcW w:w="336" w:type="dxa"/>
          </w:tcPr>
          <w:p w14:paraId="03690D9C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3F33B7" w14:paraId="03690DA2" w14:textId="77777777">
        <w:tc>
          <w:tcPr>
            <w:tcW w:w="3965" w:type="dxa"/>
          </w:tcPr>
          <w:p w14:paraId="03690D9E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Archaeal viruses</w:t>
            </w:r>
          </w:p>
        </w:tc>
        <w:tc>
          <w:tcPr>
            <w:tcW w:w="284" w:type="dxa"/>
          </w:tcPr>
          <w:p w14:paraId="03690D9F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</w:tcPr>
          <w:p w14:paraId="03690DA0" w14:textId="2F1508D9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General -</w:t>
            </w:r>
          </w:p>
        </w:tc>
        <w:tc>
          <w:tcPr>
            <w:tcW w:w="336" w:type="dxa"/>
          </w:tcPr>
          <w:p w14:paraId="03690DA1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</w:tbl>
    <w:p w14:paraId="03690DA3" w14:textId="77777777" w:rsidR="003F33B7" w:rsidRDefault="003F33B7">
      <w:pPr>
        <w:rPr>
          <w:rFonts w:ascii="Aptos" w:eastAsia="Aptos" w:hAnsi="Aptos" w:cs="Aptos"/>
          <w:b/>
          <w:color w:val="000000"/>
          <w:sz w:val="20"/>
          <w:szCs w:val="20"/>
        </w:rPr>
      </w:pPr>
    </w:p>
    <w:tbl>
      <w:tblPr>
        <w:tblStyle w:val="a2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1984"/>
        <w:gridCol w:w="1985"/>
        <w:gridCol w:w="2126"/>
      </w:tblGrid>
      <w:tr w:rsidR="003F33B7" w14:paraId="03690DA5" w14:textId="77777777">
        <w:trPr>
          <w:gridAfter w:val="3"/>
          <w:wAfter w:w="6095" w:type="dxa"/>
          <w:trHeight w:val="147"/>
        </w:trPr>
        <w:tc>
          <w:tcPr>
            <w:tcW w:w="2410" w:type="dxa"/>
            <w:shd w:val="clear" w:color="auto" w:fill="F2F2F2"/>
          </w:tcPr>
          <w:p w14:paraId="03690DA4" w14:textId="3F81106E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List the ICTV Study Group(s) that have seen or have been involved in creating this proposal: </w:t>
            </w:r>
            <w:hyperlink r:id="rId9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3F33B7" w14:paraId="03690DA8" w14:textId="77777777">
        <w:trPr>
          <w:gridAfter w:val="3"/>
          <w:wAfter w:w="6095" w:type="dxa"/>
          <w:trHeight w:val="527"/>
        </w:trPr>
        <w:tc>
          <w:tcPr>
            <w:tcW w:w="2410" w:type="dxa"/>
          </w:tcPr>
          <w:p w14:paraId="03690DA6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3690DA7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3F33B7" w14:paraId="03690DAA" w14:textId="77777777">
        <w:tc>
          <w:tcPr>
            <w:tcW w:w="8505" w:type="dxa"/>
            <w:gridSpan w:val="4"/>
            <w:shd w:val="clear" w:color="auto" w:fill="F2F2F2"/>
          </w:tcPr>
          <w:p w14:paraId="03690DA9" w14:textId="28E69958" w:rsidR="003F33B7" w:rsidRDefault="00D1088F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Optional – complete only if formally voted on by an ICTV Study Group: </w:t>
            </w:r>
          </w:p>
        </w:tc>
      </w:tr>
      <w:tr w:rsidR="003F33B7" w14:paraId="03690DAD" w14:textId="77777777">
        <w:tc>
          <w:tcPr>
            <w:tcW w:w="2410" w:type="dxa"/>
            <w:vMerge w:val="restart"/>
            <w:shd w:val="clear" w:color="auto" w:fill="F2F2F2"/>
          </w:tcPr>
          <w:p w14:paraId="03690DAB" w14:textId="77777777" w:rsidR="003F33B7" w:rsidRDefault="00D1088F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/>
          </w:tcPr>
          <w:p w14:paraId="03690DAC" w14:textId="77777777" w:rsidR="003F33B7" w:rsidRDefault="00D1088F">
            <w:pPr>
              <w:jc w:val="center"/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Number of members</w:t>
            </w:r>
          </w:p>
        </w:tc>
      </w:tr>
      <w:tr w:rsidR="003F33B7" w14:paraId="03690DB2" w14:textId="77777777">
        <w:tc>
          <w:tcPr>
            <w:tcW w:w="2410" w:type="dxa"/>
            <w:vMerge/>
            <w:shd w:val="clear" w:color="auto" w:fill="F2F2F2"/>
          </w:tcPr>
          <w:p w14:paraId="03690DAE" w14:textId="77777777" w:rsidR="003F33B7" w:rsidRDefault="003F33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/>
          </w:tcPr>
          <w:p w14:paraId="03690DAF" w14:textId="77777777" w:rsidR="003F33B7" w:rsidRDefault="00D1088F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Votes in support</w:t>
            </w:r>
          </w:p>
        </w:tc>
        <w:tc>
          <w:tcPr>
            <w:tcW w:w="1985" w:type="dxa"/>
            <w:shd w:val="clear" w:color="auto" w:fill="F2F2F2"/>
          </w:tcPr>
          <w:p w14:paraId="03690DB0" w14:textId="77777777" w:rsidR="003F33B7" w:rsidRDefault="00D1088F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/>
          </w:tcPr>
          <w:p w14:paraId="03690DB1" w14:textId="77777777" w:rsidR="003F33B7" w:rsidRDefault="00D1088F">
            <w:pPr>
              <w:jc w:val="center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No vote</w:t>
            </w:r>
          </w:p>
        </w:tc>
      </w:tr>
      <w:tr w:rsidR="003F33B7" w14:paraId="03690DB7" w14:textId="77777777">
        <w:tc>
          <w:tcPr>
            <w:tcW w:w="2410" w:type="dxa"/>
          </w:tcPr>
          <w:p w14:paraId="03690DB3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690DB4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3690DB5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690DB6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3F33B7" w14:paraId="03690DBC" w14:textId="77777777">
        <w:tc>
          <w:tcPr>
            <w:tcW w:w="2410" w:type="dxa"/>
          </w:tcPr>
          <w:p w14:paraId="03690DB8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690DB9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3690DBA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690DBB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14:paraId="03690DBE" w14:textId="77777777" w:rsidR="003F33B7" w:rsidRDefault="003F33B7">
      <w:pPr>
        <w:rPr>
          <w:rFonts w:ascii="Aptos" w:eastAsia="Aptos" w:hAnsi="Aptos" w:cs="Aptos"/>
          <w:b/>
          <w:sz w:val="20"/>
          <w:szCs w:val="20"/>
        </w:rPr>
      </w:pPr>
    </w:p>
    <w:p w14:paraId="03690DBF" w14:textId="77777777" w:rsidR="003F33B7" w:rsidRDefault="003F33B7">
      <w:pPr>
        <w:rPr>
          <w:rFonts w:ascii="Aptos" w:eastAsia="Aptos" w:hAnsi="Aptos" w:cs="Aptos"/>
          <w:b/>
          <w:sz w:val="20"/>
          <w:szCs w:val="20"/>
        </w:rPr>
      </w:pPr>
    </w:p>
    <w:p w14:paraId="03690DC0" w14:textId="77777777" w:rsidR="003F33B7" w:rsidRDefault="003F33B7">
      <w:pPr>
        <w:rPr>
          <w:rFonts w:ascii="Aptos" w:eastAsia="Aptos" w:hAnsi="Aptos" w:cs="Aptos"/>
          <w:b/>
          <w:sz w:val="20"/>
          <w:szCs w:val="20"/>
        </w:rPr>
      </w:pPr>
    </w:p>
    <w:p w14:paraId="03690DC1" w14:textId="77777777" w:rsidR="003F33B7" w:rsidRDefault="003F33B7">
      <w:pPr>
        <w:rPr>
          <w:rFonts w:ascii="Aptos" w:eastAsia="Aptos" w:hAnsi="Aptos" w:cs="Aptos"/>
          <w:b/>
          <w:sz w:val="20"/>
          <w:szCs w:val="20"/>
        </w:rPr>
      </w:pPr>
    </w:p>
    <w:p w14:paraId="03690DC2" w14:textId="77777777" w:rsidR="003F33B7" w:rsidRDefault="003F33B7">
      <w:pPr>
        <w:rPr>
          <w:rFonts w:ascii="Aptos" w:eastAsia="Aptos" w:hAnsi="Aptos" w:cs="Aptos"/>
          <w:b/>
          <w:sz w:val="20"/>
          <w:szCs w:val="20"/>
        </w:rPr>
      </w:pPr>
    </w:p>
    <w:p w14:paraId="03690DC3" w14:textId="77777777" w:rsidR="003F33B7" w:rsidRDefault="003F33B7">
      <w:pPr>
        <w:rPr>
          <w:rFonts w:ascii="Aptos" w:eastAsia="Aptos" w:hAnsi="Aptos" w:cs="Aptos"/>
          <w:b/>
          <w:sz w:val="20"/>
          <w:szCs w:val="20"/>
        </w:rPr>
      </w:pPr>
    </w:p>
    <w:p w14:paraId="03690DC4" w14:textId="77777777" w:rsidR="003F33B7" w:rsidRDefault="003F33B7">
      <w:pPr>
        <w:rPr>
          <w:rFonts w:ascii="Aptos" w:eastAsia="Aptos" w:hAnsi="Aptos" w:cs="Aptos"/>
          <w:b/>
          <w:sz w:val="20"/>
          <w:szCs w:val="20"/>
        </w:rPr>
      </w:pPr>
    </w:p>
    <w:p w14:paraId="03690DC5" w14:textId="77777777" w:rsidR="003F33B7" w:rsidRDefault="003F33B7">
      <w:pPr>
        <w:rPr>
          <w:rFonts w:ascii="Aptos" w:eastAsia="Aptos" w:hAnsi="Aptos" w:cs="Aptos"/>
          <w:b/>
          <w:sz w:val="20"/>
          <w:szCs w:val="20"/>
        </w:rPr>
      </w:pPr>
    </w:p>
    <w:tbl>
      <w:tblPr>
        <w:tblStyle w:val="a3"/>
        <w:tblpPr w:leftFromText="180" w:rightFromText="180" w:vertAnchor="text"/>
        <w:tblW w:w="3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701"/>
      </w:tblGrid>
      <w:tr w:rsidR="003F33B7" w14:paraId="03690DC8" w14:textId="77777777">
        <w:trPr>
          <w:trHeight w:val="244"/>
        </w:trPr>
        <w:tc>
          <w:tcPr>
            <w:tcW w:w="2268" w:type="dxa"/>
            <w:shd w:val="clear" w:color="auto" w:fill="F2F2F2"/>
          </w:tcPr>
          <w:p w14:paraId="03690DC6" w14:textId="77777777" w:rsidR="003F33B7" w:rsidRDefault="00D1088F">
            <w:pPr>
              <w:ind w:left="174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Submission date:</w:t>
            </w:r>
          </w:p>
        </w:tc>
        <w:tc>
          <w:tcPr>
            <w:tcW w:w="1701" w:type="dxa"/>
          </w:tcPr>
          <w:p w14:paraId="03690DC7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  29/08/2024</w:t>
            </w:r>
          </w:p>
        </w:tc>
      </w:tr>
    </w:tbl>
    <w:p w14:paraId="03690DCA" w14:textId="77777777" w:rsidR="003F33B7" w:rsidRDefault="003F33B7">
      <w:pPr>
        <w:rPr>
          <w:rFonts w:ascii="Aptos" w:eastAsia="Aptos" w:hAnsi="Aptos" w:cs="Aptos"/>
          <w:b/>
          <w:sz w:val="20"/>
          <w:szCs w:val="20"/>
        </w:rPr>
      </w:pPr>
    </w:p>
    <w:p w14:paraId="03690DCB" w14:textId="77777777" w:rsidR="003F33B7" w:rsidRDefault="003F33B7">
      <w:pPr>
        <w:ind w:right="828"/>
        <w:rPr>
          <w:rFonts w:ascii="Aptos" w:eastAsia="Aptos" w:hAnsi="Aptos" w:cs="Aptos"/>
          <w:b/>
          <w:sz w:val="20"/>
          <w:szCs w:val="20"/>
        </w:rPr>
      </w:pPr>
    </w:p>
    <w:p w14:paraId="03690DCC" w14:textId="629B4DD2" w:rsidR="003F33B7" w:rsidRDefault="00D1088F">
      <w:pPr>
        <w:spacing w:after="120"/>
        <w:ind w:right="828"/>
        <w:rPr>
          <w:rFonts w:ascii="Aptos" w:eastAsia="Aptos" w:hAnsi="Aptos" w:cs="Aptos"/>
          <w:color w:val="0070C0"/>
          <w:sz w:val="20"/>
          <w:szCs w:val="20"/>
        </w:rPr>
      </w:pPr>
      <w:r>
        <w:rPr>
          <w:rFonts w:ascii="Aptos" w:eastAsia="Aptos" w:hAnsi="Aptos" w:cs="Aptos"/>
          <w:b/>
          <w:sz w:val="20"/>
          <w:szCs w:val="20"/>
        </w:rPr>
        <w:t xml:space="preserve">Part 1c: Feedback from ICTV Executive Committee (EC) meeting </w:t>
      </w:r>
    </w:p>
    <w:tbl>
      <w:tblPr>
        <w:tblStyle w:val="a4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425"/>
      </w:tblGrid>
      <w:tr w:rsidR="003F33B7" w14:paraId="03690DCF" w14:textId="77777777" w:rsidTr="2A3B5BB4">
        <w:tc>
          <w:tcPr>
            <w:tcW w:w="8080" w:type="dxa"/>
            <w:shd w:val="clear" w:color="auto" w:fill="F2F2F2" w:themeFill="background1" w:themeFillShade="F2"/>
          </w:tcPr>
          <w:p w14:paraId="03690DCD" w14:textId="77777777" w:rsidR="003F33B7" w:rsidRDefault="00D1088F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Executive Committee Meeting Decision </w:t>
            </w: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code:</w:t>
            </w:r>
          </w:p>
        </w:tc>
        <w:tc>
          <w:tcPr>
            <w:tcW w:w="425" w:type="dxa"/>
          </w:tcPr>
          <w:p w14:paraId="03690DCE" w14:textId="77777777" w:rsidR="003F33B7" w:rsidRDefault="00D1088F">
            <w:pPr>
              <w:rPr>
                <w:rFonts w:ascii="Aptos" w:eastAsia="Aptos" w:hAnsi="Aptos" w:cs="Aptos"/>
                <w:b/>
                <w:color w:val="A6A6A6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A6A6A6"/>
                <w:sz w:val="20"/>
                <w:szCs w:val="20"/>
              </w:rPr>
              <w:t>X</w:t>
            </w:r>
          </w:p>
        </w:tc>
      </w:tr>
      <w:tr w:rsidR="003F33B7" w14:paraId="03690DD2" w14:textId="77777777" w:rsidTr="2A3B5BB4">
        <w:tc>
          <w:tcPr>
            <w:tcW w:w="8080" w:type="dxa"/>
          </w:tcPr>
          <w:p w14:paraId="03690DD0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 – Accept</w:t>
            </w:r>
          </w:p>
        </w:tc>
        <w:tc>
          <w:tcPr>
            <w:tcW w:w="425" w:type="dxa"/>
          </w:tcPr>
          <w:p w14:paraId="03690DD1" w14:textId="6DA95A07" w:rsidR="003F33B7" w:rsidRDefault="1F2FB7A5" w:rsidP="2A3B5BB4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 w:rsidRPr="2A3B5BB4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3F33B7" w14:paraId="03690DD5" w14:textId="77777777" w:rsidTr="2A3B5BB4">
        <w:tc>
          <w:tcPr>
            <w:tcW w:w="8080" w:type="dxa"/>
          </w:tcPr>
          <w:p w14:paraId="03690DD3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Ac – Accept subject to revision by relevant subcommittee chair. No further vote required</w:t>
            </w:r>
          </w:p>
        </w:tc>
        <w:tc>
          <w:tcPr>
            <w:tcW w:w="425" w:type="dxa"/>
          </w:tcPr>
          <w:p w14:paraId="03690DD4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3F33B7" w14:paraId="03690DD8" w14:textId="77777777" w:rsidTr="2A3B5BB4">
        <w:tc>
          <w:tcPr>
            <w:tcW w:w="8080" w:type="dxa"/>
          </w:tcPr>
          <w:p w14:paraId="03690DD6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U – Accept without revision but with re-evaluation and email vote by the EC</w:t>
            </w:r>
          </w:p>
        </w:tc>
        <w:tc>
          <w:tcPr>
            <w:tcW w:w="425" w:type="dxa"/>
          </w:tcPr>
          <w:p w14:paraId="03690DD7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3F33B7" w14:paraId="03690DDB" w14:textId="77777777" w:rsidTr="2A3B5BB4">
        <w:tc>
          <w:tcPr>
            <w:tcW w:w="8080" w:type="dxa"/>
          </w:tcPr>
          <w:p w14:paraId="03690DD9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Uc – Accept subject to revision and re-evaluation and email vote by the EC</w:t>
            </w:r>
          </w:p>
        </w:tc>
        <w:tc>
          <w:tcPr>
            <w:tcW w:w="425" w:type="dxa"/>
          </w:tcPr>
          <w:p w14:paraId="03690DDA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3F33B7" w14:paraId="03690DDE" w14:textId="77777777" w:rsidTr="2A3B5BB4">
        <w:tc>
          <w:tcPr>
            <w:tcW w:w="8080" w:type="dxa"/>
          </w:tcPr>
          <w:p w14:paraId="03690DDC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03690DDD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3F33B7" w14:paraId="03690DE1" w14:textId="77777777" w:rsidTr="2A3B5BB4">
        <w:tc>
          <w:tcPr>
            <w:tcW w:w="8080" w:type="dxa"/>
          </w:tcPr>
          <w:p w14:paraId="03690DDF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J - Reject</w:t>
            </w:r>
          </w:p>
        </w:tc>
        <w:tc>
          <w:tcPr>
            <w:tcW w:w="425" w:type="dxa"/>
          </w:tcPr>
          <w:p w14:paraId="03690DE0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3F33B7" w14:paraId="03690DE4" w14:textId="77777777" w:rsidTr="2A3B5BB4">
        <w:tc>
          <w:tcPr>
            <w:tcW w:w="8080" w:type="dxa"/>
          </w:tcPr>
          <w:p w14:paraId="03690DE2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W - Withdrawn</w:t>
            </w:r>
          </w:p>
        </w:tc>
        <w:tc>
          <w:tcPr>
            <w:tcW w:w="425" w:type="dxa"/>
          </w:tcPr>
          <w:p w14:paraId="03690DE3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</w:tbl>
    <w:p w14:paraId="03690DE5" w14:textId="77777777" w:rsidR="003F33B7" w:rsidRDefault="003F33B7">
      <w:pPr>
        <w:rPr>
          <w:rFonts w:ascii="Aptos" w:eastAsia="Aptos" w:hAnsi="Aptos" w:cs="Aptos"/>
          <w:b/>
          <w:color w:val="000000"/>
          <w:sz w:val="20"/>
          <w:szCs w:val="20"/>
        </w:rPr>
      </w:pPr>
    </w:p>
    <w:tbl>
      <w:tblPr>
        <w:tblStyle w:val="a5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3F33B7" w14:paraId="03690DE7" w14:textId="77777777">
        <w:trPr>
          <w:trHeight w:val="211"/>
        </w:trPr>
        <w:tc>
          <w:tcPr>
            <w:tcW w:w="8505" w:type="dxa"/>
            <w:shd w:val="clear" w:color="auto" w:fill="F2F2F2"/>
          </w:tcPr>
          <w:p w14:paraId="03690DE6" w14:textId="77777777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Comments from the Executive Committee:</w:t>
            </w:r>
          </w:p>
        </w:tc>
      </w:tr>
      <w:tr w:rsidR="003F33B7" w14:paraId="03690DEA" w14:textId="77777777">
        <w:trPr>
          <w:trHeight w:val="794"/>
        </w:trPr>
        <w:tc>
          <w:tcPr>
            <w:tcW w:w="8505" w:type="dxa"/>
          </w:tcPr>
          <w:p w14:paraId="03690DE8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3690DE9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14:paraId="03690DEB" w14:textId="77777777" w:rsidR="003F33B7" w:rsidRDefault="003F33B7">
      <w:pPr>
        <w:rPr>
          <w:rFonts w:ascii="Aptos" w:eastAsia="Aptos" w:hAnsi="Aptos" w:cs="Aptos"/>
          <w:b/>
          <w:sz w:val="20"/>
          <w:szCs w:val="20"/>
        </w:rPr>
      </w:pPr>
    </w:p>
    <w:p w14:paraId="03690DEC" w14:textId="77777777" w:rsidR="003F33B7" w:rsidRDefault="003F33B7">
      <w:pPr>
        <w:rPr>
          <w:rFonts w:ascii="Aptos" w:eastAsia="Aptos" w:hAnsi="Aptos" w:cs="Aptos"/>
          <w:b/>
          <w:sz w:val="20"/>
          <w:szCs w:val="20"/>
        </w:rPr>
      </w:pPr>
    </w:p>
    <w:p w14:paraId="03690DED" w14:textId="612F4EDA" w:rsidR="003F33B7" w:rsidRDefault="00D1088F">
      <w:pPr>
        <w:spacing w:after="120"/>
        <w:rPr>
          <w:rFonts w:ascii="Aptos" w:eastAsia="Aptos" w:hAnsi="Aptos" w:cs="Aptos"/>
          <w:b/>
          <w:sz w:val="20"/>
          <w:szCs w:val="20"/>
        </w:rPr>
      </w:pPr>
      <w:r>
        <w:rPr>
          <w:rFonts w:ascii="Aptos" w:eastAsia="Aptos" w:hAnsi="Aptos" w:cs="Aptos"/>
          <w:b/>
          <w:sz w:val="20"/>
          <w:szCs w:val="20"/>
        </w:rPr>
        <w:t xml:space="preserve">Part 1d: Revised Taxonomy Proposal Submission </w:t>
      </w:r>
    </w:p>
    <w:tbl>
      <w:tblPr>
        <w:tblStyle w:val="a6"/>
        <w:tblW w:w="87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5"/>
        <w:gridCol w:w="236"/>
      </w:tblGrid>
      <w:tr w:rsidR="003F33B7" w14:paraId="03690DEF" w14:textId="77777777" w:rsidTr="003D0BA6">
        <w:trPr>
          <w:gridAfter w:val="1"/>
          <w:wAfter w:w="236" w:type="dxa"/>
        </w:trPr>
        <w:tc>
          <w:tcPr>
            <w:tcW w:w="8505" w:type="dxa"/>
            <w:shd w:val="clear" w:color="auto" w:fill="F2F2F2"/>
          </w:tcPr>
          <w:p w14:paraId="03690DEE" w14:textId="31CA2694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Response of proposer: </w:t>
            </w:r>
          </w:p>
        </w:tc>
      </w:tr>
      <w:tr w:rsidR="003F33B7" w14:paraId="03690DF4" w14:textId="77777777" w:rsidTr="003D0BA6">
        <w:trPr>
          <w:gridAfter w:val="1"/>
          <w:wAfter w:w="236" w:type="dxa"/>
        </w:trPr>
        <w:tc>
          <w:tcPr>
            <w:tcW w:w="8505" w:type="dxa"/>
          </w:tcPr>
          <w:p w14:paraId="03690DF0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3690DF1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3690DF2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3690DF3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3F33B7" w14:paraId="03690DF7" w14:textId="77777777" w:rsidTr="003D0BA6">
        <w:trPr>
          <w:trHeight w:val="244"/>
        </w:trPr>
        <w:tc>
          <w:tcPr>
            <w:tcW w:w="8505" w:type="dxa"/>
            <w:shd w:val="clear" w:color="auto" w:fill="F2F2F2"/>
          </w:tcPr>
          <w:p w14:paraId="03690DF5" w14:textId="77777777" w:rsidR="003F33B7" w:rsidRDefault="00D1088F">
            <w:pPr>
              <w:ind w:left="174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Revision date:</w:t>
            </w:r>
          </w:p>
        </w:tc>
        <w:tc>
          <w:tcPr>
            <w:tcW w:w="236" w:type="dxa"/>
          </w:tcPr>
          <w:p w14:paraId="03690DF6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14:paraId="03690DF8" w14:textId="77777777" w:rsidR="003F33B7" w:rsidRDefault="003F33B7">
      <w:pPr>
        <w:ind w:firstLine="720"/>
        <w:rPr>
          <w:rFonts w:ascii="Aptos" w:eastAsia="Aptos" w:hAnsi="Aptos" w:cs="Aptos"/>
          <w:b/>
          <w:sz w:val="20"/>
          <w:szCs w:val="20"/>
        </w:rPr>
      </w:pPr>
    </w:p>
    <w:p w14:paraId="03690DF9" w14:textId="780FC9FD" w:rsidR="003F33B7" w:rsidRDefault="003F33B7">
      <w:pPr>
        <w:rPr>
          <w:rFonts w:ascii="Aptos" w:eastAsia="Aptos" w:hAnsi="Aptos" w:cs="Aptos"/>
          <w:color w:val="C00000"/>
          <w:sz w:val="20"/>
          <w:szCs w:val="20"/>
        </w:rPr>
      </w:pPr>
    </w:p>
    <w:p w14:paraId="03690DFA" w14:textId="77777777" w:rsidR="003F33B7" w:rsidRDefault="003F33B7">
      <w:pPr>
        <w:ind w:firstLine="720"/>
        <w:rPr>
          <w:rFonts w:ascii="Aptos" w:eastAsia="Aptos" w:hAnsi="Aptos" w:cs="Aptos"/>
          <w:b/>
          <w:sz w:val="20"/>
          <w:szCs w:val="20"/>
        </w:rPr>
      </w:pPr>
    </w:p>
    <w:p w14:paraId="03690DFB" w14:textId="7239D43C" w:rsidR="003F33B7" w:rsidRDefault="003F33B7">
      <w:pP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03690E37" w14:textId="77777777" w:rsidR="003F33B7" w:rsidRDefault="00D1088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  <w:sz w:val="20"/>
          <w:szCs w:val="20"/>
        </w:rPr>
      </w:pPr>
      <w:r>
        <w:rPr>
          <w:rFonts w:ascii="Aptos" w:eastAsia="Aptos" w:hAnsi="Aptos" w:cs="Aptos"/>
          <w:b/>
          <w:color w:val="000000"/>
          <w:sz w:val="20"/>
          <w:szCs w:val="20"/>
        </w:rPr>
        <w:t>Part 3:</w:t>
      </w:r>
      <w:r>
        <w:rPr>
          <w:rFonts w:ascii="Aptos" w:eastAsia="Aptos" w:hAnsi="Aptos" w:cs="Aptos"/>
          <w:color w:val="000000"/>
          <w:sz w:val="20"/>
          <w:szCs w:val="20"/>
        </w:rPr>
        <w:t xml:space="preserve"> </w:t>
      </w:r>
      <w:r>
        <w:rPr>
          <w:rFonts w:ascii="Aptos" w:eastAsia="Aptos" w:hAnsi="Aptos" w:cs="Aptos"/>
          <w:b/>
          <w:color w:val="000000"/>
          <w:sz w:val="20"/>
          <w:szCs w:val="20"/>
        </w:rPr>
        <w:t>TAXONOMIC PROPOSAL</w:t>
      </w:r>
    </w:p>
    <w:p w14:paraId="03690E39" w14:textId="607C9E41" w:rsidR="003F33B7" w:rsidRDefault="007655C2">
      <w:pPr>
        <w:pBdr>
          <w:top w:val="nil"/>
          <w:left w:val="nil"/>
          <w:bottom w:val="nil"/>
          <w:right w:val="nil"/>
          <w:between w:val="nil"/>
        </w:pBdr>
        <w:ind w:hanging="15"/>
        <w:rPr>
          <w:rFonts w:ascii="Aptos" w:eastAsia="Aptos" w:hAnsi="Aptos" w:cs="Aptos"/>
          <w:b/>
          <w:color w:val="000000"/>
          <w:sz w:val="20"/>
          <w:szCs w:val="20"/>
        </w:rPr>
      </w:pPr>
      <w:hyperlink r:id="rId10">
        <w:r w:rsidR="003F33B7">
          <w:rPr>
            <w:rFonts w:ascii="Aptos" w:eastAsia="Aptos" w:hAnsi="Aptos" w:cs="Aptos"/>
            <w:color w:val="0563C1"/>
            <w:sz w:val="20"/>
            <w:szCs w:val="20"/>
            <w:u w:val="single"/>
          </w:rPr>
          <w:t>https://ictv.global/taxonomy/templates</w:t>
        </w:r>
      </w:hyperlink>
    </w:p>
    <w:tbl>
      <w:tblPr>
        <w:tblStyle w:val="ac"/>
        <w:tblW w:w="6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425"/>
        <w:gridCol w:w="2410"/>
        <w:gridCol w:w="425"/>
      </w:tblGrid>
      <w:tr w:rsidR="003F33B7" w14:paraId="03690E3B" w14:textId="77777777">
        <w:tc>
          <w:tcPr>
            <w:tcW w:w="6232" w:type="dxa"/>
            <w:gridSpan w:val="4"/>
            <w:shd w:val="clear" w:color="auto" w:fill="F2F2F2"/>
          </w:tcPr>
          <w:p w14:paraId="03690E3A" w14:textId="633A7AC7" w:rsidR="003F33B7" w:rsidRDefault="00D1088F">
            <w:pPr>
              <w:rPr>
                <w:rFonts w:ascii="Aptos" w:eastAsia="Aptos" w:hAnsi="Aptos" w:cs="Aptos"/>
                <w:b/>
                <w:color w:val="0070C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Taxonomic changes proposed: </w:t>
            </w:r>
          </w:p>
        </w:tc>
      </w:tr>
      <w:tr w:rsidR="003F33B7" w14:paraId="03690E40" w14:textId="77777777">
        <w:tc>
          <w:tcPr>
            <w:tcW w:w="2972" w:type="dxa"/>
          </w:tcPr>
          <w:p w14:paraId="03690E3C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Establish new taxon</w:t>
            </w:r>
          </w:p>
        </w:tc>
        <w:tc>
          <w:tcPr>
            <w:tcW w:w="425" w:type="dxa"/>
          </w:tcPr>
          <w:p w14:paraId="03690E3D" w14:textId="77777777" w:rsidR="003F33B7" w:rsidRDefault="00D1088F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03690E3E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Split taxon</w:t>
            </w:r>
          </w:p>
        </w:tc>
        <w:tc>
          <w:tcPr>
            <w:tcW w:w="425" w:type="dxa"/>
          </w:tcPr>
          <w:p w14:paraId="03690E3F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3F33B7" w14:paraId="03690E45" w14:textId="77777777">
        <w:tc>
          <w:tcPr>
            <w:tcW w:w="2972" w:type="dxa"/>
          </w:tcPr>
          <w:p w14:paraId="03690E41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Abolish taxon</w:t>
            </w:r>
          </w:p>
        </w:tc>
        <w:tc>
          <w:tcPr>
            <w:tcW w:w="425" w:type="dxa"/>
          </w:tcPr>
          <w:p w14:paraId="03690E42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690E43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Merge taxon</w:t>
            </w:r>
          </w:p>
        </w:tc>
        <w:tc>
          <w:tcPr>
            <w:tcW w:w="425" w:type="dxa"/>
          </w:tcPr>
          <w:p w14:paraId="03690E44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3F33B7" w14:paraId="03690E4A" w14:textId="77777777">
        <w:tc>
          <w:tcPr>
            <w:tcW w:w="2972" w:type="dxa"/>
          </w:tcPr>
          <w:p w14:paraId="03690E46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Move taxon</w:t>
            </w:r>
          </w:p>
        </w:tc>
        <w:tc>
          <w:tcPr>
            <w:tcW w:w="425" w:type="dxa"/>
          </w:tcPr>
          <w:p w14:paraId="03690E47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690E48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Promote taxon</w:t>
            </w:r>
          </w:p>
        </w:tc>
        <w:tc>
          <w:tcPr>
            <w:tcW w:w="425" w:type="dxa"/>
          </w:tcPr>
          <w:p w14:paraId="03690E49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3F33B7" w14:paraId="03690E4F" w14:textId="77777777">
        <w:tc>
          <w:tcPr>
            <w:tcW w:w="2972" w:type="dxa"/>
          </w:tcPr>
          <w:p w14:paraId="03690E4B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Rename taxon</w:t>
            </w:r>
          </w:p>
        </w:tc>
        <w:tc>
          <w:tcPr>
            <w:tcW w:w="425" w:type="dxa"/>
          </w:tcPr>
          <w:p w14:paraId="03690E4C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690E4D" w14:textId="77777777" w:rsidR="003F33B7" w:rsidRDefault="00D1088F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Demote taxon</w:t>
            </w:r>
          </w:p>
        </w:tc>
        <w:tc>
          <w:tcPr>
            <w:tcW w:w="425" w:type="dxa"/>
          </w:tcPr>
          <w:p w14:paraId="03690E4E" w14:textId="77777777" w:rsidR="003F33B7" w:rsidRDefault="003F33B7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3F33B7" w14:paraId="03690E52" w14:textId="77777777">
        <w:trPr>
          <w:gridAfter w:val="2"/>
          <w:wAfter w:w="2835" w:type="dxa"/>
        </w:trPr>
        <w:tc>
          <w:tcPr>
            <w:tcW w:w="2972" w:type="dxa"/>
          </w:tcPr>
          <w:p w14:paraId="03690E50" w14:textId="77777777" w:rsidR="003F33B7" w:rsidRDefault="00D1088F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Move and rename</w:t>
            </w:r>
          </w:p>
        </w:tc>
        <w:tc>
          <w:tcPr>
            <w:tcW w:w="425" w:type="dxa"/>
          </w:tcPr>
          <w:p w14:paraId="03690E51" w14:textId="77777777" w:rsidR="003F33B7" w:rsidRDefault="003F33B7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</w:tr>
    </w:tbl>
    <w:p w14:paraId="03690E53" w14:textId="77777777" w:rsidR="003F33B7" w:rsidRDefault="003F33B7">
      <w:pPr>
        <w:rPr>
          <w:rFonts w:ascii="Aptos" w:eastAsia="Aptos" w:hAnsi="Aptos" w:cs="Aptos"/>
          <w:color w:val="808080"/>
          <w:sz w:val="20"/>
          <w:szCs w:val="20"/>
        </w:rPr>
      </w:pPr>
    </w:p>
    <w:tbl>
      <w:tblPr>
        <w:tblStyle w:val="ad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379"/>
      </w:tblGrid>
      <w:tr w:rsidR="003F33B7" w14:paraId="03690E55" w14:textId="77777777">
        <w:trPr>
          <w:trHeight w:val="297"/>
        </w:trPr>
        <w:tc>
          <w:tcPr>
            <w:tcW w:w="8926" w:type="dxa"/>
            <w:gridSpan w:val="2"/>
            <w:shd w:val="clear" w:color="auto" w:fill="F2F2F2"/>
          </w:tcPr>
          <w:p w14:paraId="03690E54" w14:textId="7739FD00" w:rsidR="003F33B7" w:rsidRDefault="00D1088F">
            <w:pPr>
              <w:rPr>
                <w:rFonts w:ascii="Aptos" w:eastAsia="Aptos" w:hAnsi="Aptos" w:cs="Aptos"/>
                <w:b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Etymology (origin) of proposed taxonomic names: </w:t>
            </w:r>
          </w:p>
        </w:tc>
      </w:tr>
      <w:tr w:rsidR="003F33B7" w14:paraId="03690E58" w14:textId="77777777">
        <w:trPr>
          <w:trHeight w:val="73"/>
        </w:trPr>
        <w:tc>
          <w:tcPr>
            <w:tcW w:w="2547" w:type="dxa"/>
          </w:tcPr>
          <w:p w14:paraId="03690E56" w14:textId="77777777" w:rsidR="003F33B7" w:rsidRDefault="00D1088F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3690E57" w14:textId="77777777" w:rsidR="003F33B7" w:rsidRDefault="00D1088F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Etymology of the term</w:t>
            </w:r>
          </w:p>
        </w:tc>
      </w:tr>
      <w:tr w:rsidR="003F33B7" w14:paraId="03690E5B" w14:textId="77777777">
        <w:trPr>
          <w:trHeight w:val="71"/>
        </w:trPr>
        <w:tc>
          <w:tcPr>
            <w:tcW w:w="2547" w:type="dxa"/>
            <w:vAlign w:val="center"/>
          </w:tcPr>
          <w:p w14:paraId="03690E59" w14:textId="77777777" w:rsidR="003F33B7" w:rsidRDefault="00D1088F">
            <w:pPr>
              <w:jc w:val="both"/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Tequintavirus vipecosubii</w:t>
            </w:r>
          </w:p>
        </w:tc>
        <w:tc>
          <w:tcPr>
            <w:tcW w:w="6379" w:type="dxa"/>
            <w:vAlign w:val="center"/>
          </w:tcPr>
          <w:p w14:paraId="03690E5A" w14:textId="77777777" w:rsidR="003F33B7" w:rsidRDefault="00D1088F">
            <w:pPr>
              <w:jc w:val="both"/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The proposed binomial name of the new species is derived from the site of isolation in the Philippines: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Tequintavirus vipecosubii </w:t>
            </w:r>
            <w:r>
              <w:rPr>
                <w:rFonts w:ascii="Aptos" w:eastAsia="Aptos" w:hAnsi="Aptos" w:cs="Aptos"/>
                <w:sz w:val="20"/>
                <w:szCs w:val="20"/>
              </w:rPr>
              <w:t>isolated from a sewage facility in Subic.</w:t>
            </w:r>
          </w:p>
        </w:tc>
      </w:tr>
      <w:tr w:rsidR="003F33B7" w14:paraId="03690E5E" w14:textId="77777777">
        <w:trPr>
          <w:trHeight w:val="71"/>
        </w:trPr>
        <w:tc>
          <w:tcPr>
            <w:tcW w:w="2547" w:type="dxa"/>
            <w:vAlign w:val="center"/>
          </w:tcPr>
          <w:p w14:paraId="03690E5C" w14:textId="77777777" w:rsidR="003F33B7" w:rsidRDefault="003F33B7">
            <w:pPr>
              <w:jc w:val="both"/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03690E5D" w14:textId="77777777" w:rsidR="003F33B7" w:rsidRDefault="003F33B7">
            <w:pPr>
              <w:jc w:val="both"/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3F33B7" w14:paraId="03690E61" w14:textId="77777777">
        <w:trPr>
          <w:trHeight w:val="71"/>
        </w:trPr>
        <w:tc>
          <w:tcPr>
            <w:tcW w:w="2547" w:type="dxa"/>
            <w:vAlign w:val="center"/>
          </w:tcPr>
          <w:p w14:paraId="03690E5F" w14:textId="77777777" w:rsidR="003F33B7" w:rsidRDefault="003F33B7">
            <w:pPr>
              <w:jc w:val="both"/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03690E60" w14:textId="77777777" w:rsidR="003F33B7" w:rsidRDefault="003F33B7">
            <w:pPr>
              <w:jc w:val="both"/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3F33B7" w14:paraId="03690E64" w14:textId="77777777">
        <w:trPr>
          <w:trHeight w:val="71"/>
        </w:trPr>
        <w:tc>
          <w:tcPr>
            <w:tcW w:w="2547" w:type="dxa"/>
            <w:vAlign w:val="center"/>
          </w:tcPr>
          <w:p w14:paraId="03690E62" w14:textId="77777777" w:rsidR="003F33B7" w:rsidRDefault="003F33B7">
            <w:pPr>
              <w:jc w:val="both"/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03690E63" w14:textId="77777777" w:rsidR="003F33B7" w:rsidRDefault="003F33B7">
            <w:pPr>
              <w:jc w:val="both"/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</w:tbl>
    <w:p w14:paraId="03690E65" w14:textId="77777777" w:rsidR="003F33B7" w:rsidRDefault="003F33B7">
      <w:pPr>
        <w:rPr>
          <w:rFonts w:ascii="Aptos" w:eastAsia="Aptos" w:hAnsi="Aptos" w:cs="Aptos"/>
          <w:color w:val="0000FF"/>
          <w:sz w:val="20"/>
          <w:szCs w:val="20"/>
        </w:rPr>
      </w:pPr>
    </w:p>
    <w:tbl>
      <w:tblPr>
        <w:tblStyle w:val="ae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5103"/>
        <w:gridCol w:w="1276"/>
      </w:tblGrid>
      <w:tr w:rsidR="003F33B7" w14:paraId="03690E67" w14:textId="77777777">
        <w:tc>
          <w:tcPr>
            <w:tcW w:w="8926" w:type="dxa"/>
            <w:gridSpan w:val="3"/>
            <w:shd w:val="clear" w:color="auto" w:fill="F2F2F2"/>
          </w:tcPr>
          <w:p w14:paraId="03690E66" w14:textId="15E697FE" w:rsidR="003F33B7" w:rsidRDefault="00D1088F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Permission for use of names derived from a living person:        </w:t>
            </w:r>
          </w:p>
        </w:tc>
      </w:tr>
      <w:tr w:rsidR="003F33B7" w14:paraId="03690E6B" w14:textId="77777777">
        <w:tc>
          <w:tcPr>
            <w:tcW w:w="2547" w:type="dxa"/>
          </w:tcPr>
          <w:p w14:paraId="03690E68" w14:textId="77777777" w:rsidR="003F33B7" w:rsidRDefault="00D1088F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03690E69" w14:textId="77777777" w:rsidR="003F33B7" w:rsidRDefault="00D1088F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Full name of person from whom the name is derived</w:t>
            </w:r>
          </w:p>
        </w:tc>
        <w:tc>
          <w:tcPr>
            <w:tcW w:w="1276" w:type="dxa"/>
          </w:tcPr>
          <w:p w14:paraId="03690E6A" w14:textId="4A61AEB5" w:rsidR="003F33B7" w:rsidRDefault="00D1088F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Attached </w:t>
            </w:r>
          </w:p>
        </w:tc>
      </w:tr>
      <w:tr w:rsidR="003F33B7" w14:paraId="03690E6F" w14:textId="77777777">
        <w:tc>
          <w:tcPr>
            <w:tcW w:w="2547" w:type="dxa"/>
            <w:vAlign w:val="center"/>
          </w:tcPr>
          <w:p w14:paraId="03690E6C" w14:textId="77777777" w:rsidR="003F33B7" w:rsidRDefault="003F33B7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3690E6D" w14:textId="77777777" w:rsidR="003F33B7" w:rsidRDefault="003F33B7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3690E6E" w14:textId="77777777" w:rsidR="003F33B7" w:rsidRDefault="003F33B7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</w:tr>
      <w:tr w:rsidR="003F33B7" w14:paraId="03690E73" w14:textId="77777777">
        <w:tc>
          <w:tcPr>
            <w:tcW w:w="2547" w:type="dxa"/>
            <w:vAlign w:val="center"/>
          </w:tcPr>
          <w:p w14:paraId="03690E70" w14:textId="77777777" w:rsidR="003F33B7" w:rsidRDefault="003F33B7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3690E71" w14:textId="77777777" w:rsidR="003F33B7" w:rsidRDefault="003F33B7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3690E72" w14:textId="77777777" w:rsidR="003F33B7" w:rsidRDefault="003F33B7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</w:tr>
      <w:tr w:rsidR="003F33B7" w14:paraId="03690E77" w14:textId="77777777">
        <w:tc>
          <w:tcPr>
            <w:tcW w:w="2547" w:type="dxa"/>
            <w:vAlign w:val="center"/>
          </w:tcPr>
          <w:p w14:paraId="03690E74" w14:textId="77777777" w:rsidR="003F33B7" w:rsidRDefault="003F33B7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3690E75" w14:textId="77777777" w:rsidR="003F33B7" w:rsidRDefault="003F33B7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3690E76" w14:textId="77777777" w:rsidR="003F33B7" w:rsidRDefault="003F33B7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</w:tr>
      <w:tr w:rsidR="003F33B7" w14:paraId="03690E7B" w14:textId="77777777">
        <w:tc>
          <w:tcPr>
            <w:tcW w:w="2547" w:type="dxa"/>
            <w:vAlign w:val="center"/>
          </w:tcPr>
          <w:p w14:paraId="03690E78" w14:textId="77777777" w:rsidR="003F33B7" w:rsidRDefault="003F33B7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3690E79" w14:textId="77777777" w:rsidR="003F33B7" w:rsidRDefault="003F33B7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3690E7A" w14:textId="77777777" w:rsidR="003F33B7" w:rsidRDefault="003F33B7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</w:tr>
    </w:tbl>
    <w:p w14:paraId="03690E7C" w14:textId="77777777" w:rsidR="003F33B7" w:rsidRDefault="003F33B7">
      <w:pPr>
        <w:rPr>
          <w:rFonts w:ascii="Aptos" w:eastAsia="Aptos" w:hAnsi="Aptos" w:cs="Aptos"/>
          <w:color w:val="0000FF"/>
          <w:sz w:val="20"/>
          <w:szCs w:val="20"/>
        </w:rPr>
      </w:pPr>
    </w:p>
    <w:tbl>
      <w:tblPr>
        <w:tblStyle w:val="af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3F33B7" w14:paraId="03690E7E" w14:textId="77777777" w:rsidTr="28397893">
        <w:tc>
          <w:tcPr>
            <w:tcW w:w="8926" w:type="dxa"/>
            <w:shd w:val="clear" w:color="auto" w:fill="F2F2F2" w:themeFill="background1" w:themeFillShade="F2"/>
          </w:tcPr>
          <w:p w14:paraId="03690E7D" w14:textId="08DA4F3E" w:rsidR="003F33B7" w:rsidRDefault="00D1088F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Abstract of Taxonomy Proposal: </w:t>
            </w:r>
          </w:p>
        </w:tc>
      </w:tr>
      <w:tr w:rsidR="003F33B7" w14:paraId="03690E91" w14:textId="77777777" w:rsidTr="28397893">
        <w:tc>
          <w:tcPr>
            <w:tcW w:w="8926" w:type="dxa"/>
          </w:tcPr>
          <w:p w14:paraId="03690E7F" w14:textId="77777777" w:rsidR="003F33B7" w:rsidRDefault="003F33B7">
            <w:pPr>
              <w:rPr>
                <w:rFonts w:ascii="Aptos" w:eastAsia="Aptos" w:hAnsi="Aptos" w:cs="Aptos"/>
                <w:b/>
                <w:i/>
                <w:sz w:val="20"/>
                <w:szCs w:val="20"/>
              </w:rPr>
            </w:pPr>
          </w:p>
          <w:p w14:paraId="03690E80" w14:textId="77777777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35C792F1">
              <w:rPr>
                <w:rFonts w:ascii="Aptos" w:eastAsia="Aptos" w:hAnsi="Aptos" w:cs="Aptos"/>
                <w:i/>
                <w:iCs/>
                <w:sz w:val="20"/>
                <w:szCs w:val="20"/>
              </w:rPr>
              <w:t>Taxonomic rank(s) affected</w:t>
            </w:r>
            <w:r w:rsidRPr="35C792F1">
              <w:rPr>
                <w:rFonts w:ascii="Aptos" w:eastAsia="Aptos" w:hAnsi="Aptos" w:cs="Aptos"/>
                <w:sz w:val="20"/>
                <w:szCs w:val="20"/>
              </w:rPr>
              <w:t xml:space="preserve">:       </w:t>
            </w:r>
          </w:p>
          <w:p w14:paraId="22C12F39" w14:textId="530CD971" w:rsidR="686312DD" w:rsidRDefault="686312DD" w:rsidP="35C792F1">
            <w:pPr>
              <w:spacing w:line="259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35C792F1">
              <w:rPr>
                <w:rFonts w:ascii="Aptos" w:eastAsia="Aptos" w:hAnsi="Aptos" w:cs="Aptos"/>
                <w:sz w:val="20"/>
                <w:szCs w:val="20"/>
              </w:rPr>
              <w:t>Species</w:t>
            </w:r>
          </w:p>
          <w:p w14:paraId="03690E82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3690E83" w14:textId="77777777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Description of current taxonomy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:       </w:t>
            </w:r>
          </w:p>
          <w:p w14:paraId="03690E84" w14:textId="77777777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2A3B5BB4">
              <w:rPr>
                <w:rFonts w:ascii="Aptos" w:eastAsia="Aptos" w:hAnsi="Aptos" w:cs="Aptos"/>
                <w:sz w:val="20"/>
                <w:szCs w:val="20"/>
              </w:rPr>
              <w:t xml:space="preserve">The genus </w:t>
            </w:r>
            <w:r w:rsidRPr="2A3B5BB4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Tequintavirus </w:t>
            </w:r>
            <w:r w:rsidRPr="2A3B5BB4">
              <w:rPr>
                <w:rFonts w:ascii="Aptos" w:eastAsia="Aptos" w:hAnsi="Aptos" w:cs="Aptos"/>
                <w:sz w:val="20"/>
                <w:szCs w:val="20"/>
              </w:rPr>
              <w:t xml:space="preserve">is classified within the subfamily </w:t>
            </w:r>
            <w:r w:rsidRPr="2A3B5BB4">
              <w:rPr>
                <w:rFonts w:ascii="Aptos" w:eastAsia="Aptos" w:hAnsi="Aptos" w:cs="Aptos"/>
                <w:i/>
                <w:iCs/>
                <w:sz w:val="20"/>
                <w:szCs w:val="20"/>
              </w:rPr>
              <w:t>Markadamsvirinae</w:t>
            </w:r>
            <w:r w:rsidRPr="2A3B5BB4">
              <w:rPr>
                <w:rFonts w:ascii="Aptos" w:eastAsia="Aptos" w:hAnsi="Aptos" w:cs="Aptos"/>
                <w:sz w:val="20"/>
                <w:szCs w:val="20"/>
              </w:rPr>
              <w:t xml:space="preserve">, family </w:t>
            </w:r>
            <w:r w:rsidRPr="2A3B5BB4">
              <w:rPr>
                <w:rFonts w:ascii="Aptos" w:eastAsia="Aptos" w:hAnsi="Aptos" w:cs="Aptos"/>
                <w:i/>
                <w:iCs/>
                <w:sz w:val="20"/>
                <w:szCs w:val="20"/>
              </w:rPr>
              <w:t>Demerecviridae</w:t>
            </w:r>
            <w:r w:rsidRPr="2A3B5BB4">
              <w:rPr>
                <w:rFonts w:ascii="Aptos" w:eastAsia="Aptos" w:hAnsi="Aptos" w:cs="Aptos"/>
                <w:sz w:val="20"/>
                <w:szCs w:val="20"/>
              </w:rPr>
              <w:t>. The genus is currently comprised of 70 species.</w:t>
            </w:r>
          </w:p>
          <w:p w14:paraId="03690E86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3690E87" w14:textId="77777777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Proposed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taxonomic change(s):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    </w:t>
            </w:r>
          </w:p>
          <w:p w14:paraId="03690E88" w14:textId="20F5C038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35C792F1">
              <w:rPr>
                <w:rFonts w:ascii="Aptos" w:eastAsia="Aptos" w:hAnsi="Aptos" w:cs="Aptos"/>
                <w:sz w:val="20"/>
                <w:szCs w:val="20"/>
              </w:rPr>
              <w:t xml:space="preserve">Create one new species </w:t>
            </w:r>
            <w:r w:rsidRPr="35C792F1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Tequintavirus vipecosubii </w:t>
            </w:r>
            <w:r w:rsidRPr="35C792F1">
              <w:rPr>
                <w:rFonts w:ascii="Aptos" w:eastAsia="Aptos" w:hAnsi="Aptos" w:cs="Aptos"/>
                <w:sz w:val="20"/>
                <w:szCs w:val="20"/>
              </w:rPr>
              <w:t xml:space="preserve">in the genus </w:t>
            </w:r>
            <w:r w:rsidRPr="35C792F1">
              <w:rPr>
                <w:rFonts w:ascii="Aptos" w:eastAsia="Aptos" w:hAnsi="Aptos" w:cs="Aptos"/>
                <w:i/>
                <w:iCs/>
                <w:sz w:val="20"/>
                <w:szCs w:val="20"/>
              </w:rPr>
              <w:t>Tequintavirus</w:t>
            </w:r>
            <w:r w:rsidRPr="35C792F1">
              <w:rPr>
                <w:rFonts w:ascii="Aptos" w:eastAsia="Aptos" w:hAnsi="Aptos" w:cs="Aptos"/>
                <w:sz w:val="20"/>
                <w:szCs w:val="20"/>
              </w:rPr>
              <w:t>.</w:t>
            </w:r>
          </w:p>
          <w:p w14:paraId="03690E8A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3690E8B" w14:textId="77777777" w:rsidR="003F33B7" w:rsidRDefault="00D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Justification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:</w:t>
            </w:r>
          </w:p>
          <w:p w14:paraId="03690E90" w14:textId="6B77B705" w:rsidR="003F33B7" w:rsidRDefault="00D1088F" w:rsidP="2A3B5BB4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28397893">
              <w:rPr>
                <w:rFonts w:ascii="Aptos" w:eastAsia="Aptos" w:hAnsi="Aptos" w:cs="Aptos"/>
                <w:sz w:val="20"/>
                <w:szCs w:val="20"/>
              </w:rPr>
              <w:t>A n</w:t>
            </w:r>
            <w:r w:rsidR="6B420004" w:rsidRPr="28397893">
              <w:rPr>
                <w:rFonts w:ascii="Aptos" w:eastAsia="Aptos" w:hAnsi="Aptos" w:cs="Aptos"/>
                <w:sz w:val="20"/>
                <w:szCs w:val="20"/>
              </w:rPr>
              <w:t xml:space="preserve">ew </w:t>
            </w:r>
            <w:r w:rsidRPr="28397893">
              <w:rPr>
                <w:rFonts w:ascii="Aptos" w:eastAsia="Aptos" w:hAnsi="Aptos" w:cs="Aptos"/>
                <w:sz w:val="20"/>
                <w:szCs w:val="20"/>
              </w:rPr>
              <w:t xml:space="preserve">species, </w:t>
            </w:r>
            <w:r w:rsidR="401D5657" w:rsidRPr="28397893">
              <w:rPr>
                <w:rFonts w:ascii="Aptos" w:eastAsia="Aptos" w:hAnsi="Aptos" w:cs="Aptos"/>
                <w:sz w:val="20"/>
                <w:szCs w:val="20"/>
              </w:rPr>
              <w:t>represented by</w:t>
            </w:r>
            <w:r w:rsidRPr="28397893">
              <w:rPr>
                <w:rFonts w:ascii="Aptos" w:eastAsia="Aptos" w:hAnsi="Aptos" w:cs="Aptos"/>
                <w:sz w:val="20"/>
                <w:szCs w:val="20"/>
              </w:rPr>
              <w:t xml:space="preserve"> Escherichia phage vB_EcoS_I14, is proposed based on a 95% intergenomic similarity threshold. This newly identified species is most closely related to </w:t>
            </w:r>
            <w:r w:rsidRPr="28397893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Tequintavirus S131 </w:t>
            </w:r>
            <w:r w:rsidRPr="28397893">
              <w:rPr>
                <w:rFonts w:ascii="Aptos" w:eastAsia="Aptos" w:hAnsi="Aptos" w:cs="Aptos"/>
                <w:sz w:val="20"/>
                <w:szCs w:val="20"/>
              </w:rPr>
              <w:t xml:space="preserve">(GenBank MH370378.1), sharing 80.1% similarity. This taxonomic proposal is grounded in the principles of phylogenetic analysis and genomic comparison, providing a robust classification for this newly </w:t>
            </w:r>
            <w:r w:rsidR="7D99E985" w:rsidRPr="28397893">
              <w:rPr>
                <w:rFonts w:ascii="Aptos" w:eastAsia="Aptos" w:hAnsi="Aptos" w:cs="Aptos"/>
                <w:sz w:val="20"/>
                <w:szCs w:val="20"/>
              </w:rPr>
              <w:t>isolat</w:t>
            </w:r>
            <w:r w:rsidRPr="28397893">
              <w:rPr>
                <w:rFonts w:ascii="Aptos" w:eastAsia="Aptos" w:hAnsi="Aptos" w:cs="Aptos"/>
                <w:sz w:val="20"/>
                <w:szCs w:val="20"/>
              </w:rPr>
              <w:t xml:space="preserve">ed bacteriophage. </w:t>
            </w:r>
          </w:p>
        </w:tc>
      </w:tr>
    </w:tbl>
    <w:p w14:paraId="03690E92" w14:textId="77777777" w:rsidR="003F33B7" w:rsidRDefault="003F33B7">
      <w:pPr>
        <w:rPr>
          <w:rFonts w:ascii="Aptos" w:eastAsia="Aptos" w:hAnsi="Aptos" w:cs="Aptos"/>
          <w:color w:val="0000FF"/>
          <w:sz w:val="20"/>
          <w:szCs w:val="20"/>
        </w:rPr>
      </w:pPr>
    </w:p>
    <w:tbl>
      <w:tblPr>
        <w:tblStyle w:val="af0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3F33B7" w14:paraId="03690EA9" w14:textId="77777777" w:rsidTr="28397893">
        <w:tc>
          <w:tcPr>
            <w:tcW w:w="8926" w:type="dxa"/>
            <w:shd w:val="clear" w:color="auto" w:fill="F2F2F2" w:themeFill="background1" w:themeFillShade="F2"/>
          </w:tcPr>
          <w:p w14:paraId="03690EA7" w14:textId="2A3A60A0" w:rsidR="003F33B7" w:rsidRDefault="00D1088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Text of Taxonomy proposal:  </w:t>
            </w:r>
            <w:bookmarkStart w:id="0" w:name="_heading=h.52lvn7xzazxa" w:colFirst="0" w:colLast="0"/>
            <w:bookmarkEnd w:id="0"/>
          </w:p>
          <w:p w14:paraId="03690EA8" w14:textId="1C99A701" w:rsidR="003F33B7" w:rsidRDefault="003F3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</w:tr>
      <w:tr w:rsidR="003F33B7" w14:paraId="03690EBF" w14:textId="77777777" w:rsidTr="28397893">
        <w:tc>
          <w:tcPr>
            <w:tcW w:w="8926" w:type="dxa"/>
          </w:tcPr>
          <w:p w14:paraId="03690EAA" w14:textId="77777777" w:rsidR="003F33B7" w:rsidRDefault="003F33B7">
            <w:pPr>
              <w:rPr>
                <w:rFonts w:ascii="Aptos" w:eastAsia="Aptos" w:hAnsi="Aptos" w:cs="Aptos"/>
                <w:b/>
                <w:i/>
                <w:sz w:val="20"/>
                <w:szCs w:val="20"/>
              </w:rPr>
            </w:pPr>
          </w:p>
          <w:p w14:paraId="03690EAB" w14:textId="77777777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35C792F1">
              <w:rPr>
                <w:rFonts w:ascii="Aptos" w:eastAsia="Aptos" w:hAnsi="Aptos" w:cs="Aptos"/>
                <w:i/>
                <w:iCs/>
                <w:sz w:val="20"/>
                <w:szCs w:val="20"/>
              </w:rPr>
              <w:t>Taxonomic rank(s) affected</w:t>
            </w:r>
            <w:r w:rsidRPr="35C792F1">
              <w:rPr>
                <w:rFonts w:ascii="Aptos" w:eastAsia="Aptos" w:hAnsi="Aptos" w:cs="Aptos"/>
                <w:sz w:val="20"/>
                <w:szCs w:val="20"/>
              </w:rPr>
              <w:t xml:space="preserve">:       </w:t>
            </w:r>
          </w:p>
          <w:p w14:paraId="32A1C80D" w14:textId="4178D6FF" w:rsidR="3E7EE64B" w:rsidRDefault="3E7EE64B" w:rsidP="35C792F1">
            <w:pPr>
              <w:spacing w:line="259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35C792F1">
              <w:rPr>
                <w:rFonts w:ascii="Aptos" w:eastAsia="Aptos" w:hAnsi="Aptos" w:cs="Aptos"/>
                <w:sz w:val="20"/>
                <w:szCs w:val="20"/>
              </w:rPr>
              <w:t>Species</w:t>
            </w:r>
          </w:p>
          <w:p w14:paraId="03690EAD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3690EAE" w14:textId="77777777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Description of current taxonomy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:       </w:t>
            </w:r>
          </w:p>
          <w:p w14:paraId="03690EAF" w14:textId="77777777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2A3B5BB4">
              <w:rPr>
                <w:rFonts w:ascii="Aptos" w:eastAsia="Aptos" w:hAnsi="Aptos" w:cs="Aptos"/>
                <w:sz w:val="20"/>
                <w:szCs w:val="20"/>
              </w:rPr>
              <w:t xml:space="preserve">The genus </w:t>
            </w:r>
            <w:r w:rsidRPr="2A3B5BB4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Tequintavirus </w:t>
            </w:r>
            <w:r w:rsidRPr="2A3B5BB4">
              <w:rPr>
                <w:rFonts w:ascii="Aptos" w:eastAsia="Aptos" w:hAnsi="Aptos" w:cs="Aptos"/>
                <w:sz w:val="20"/>
                <w:szCs w:val="20"/>
              </w:rPr>
              <w:t xml:space="preserve">is classified within the subfamily </w:t>
            </w:r>
            <w:r w:rsidRPr="2A3B5BB4">
              <w:rPr>
                <w:rFonts w:ascii="Aptos" w:eastAsia="Aptos" w:hAnsi="Aptos" w:cs="Aptos"/>
                <w:i/>
                <w:iCs/>
                <w:sz w:val="20"/>
                <w:szCs w:val="20"/>
              </w:rPr>
              <w:t>Markadamsvirinae</w:t>
            </w:r>
            <w:r w:rsidRPr="2A3B5BB4">
              <w:rPr>
                <w:rFonts w:ascii="Aptos" w:eastAsia="Aptos" w:hAnsi="Aptos" w:cs="Aptos"/>
                <w:sz w:val="20"/>
                <w:szCs w:val="20"/>
              </w:rPr>
              <w:t xml:space="preserve">, family </w:t>
            </w:r>
            <w:r w:rsidRPr="2A3B5BB4">
              <w:rPr>
                <w:rFonts w:ascii="Aptos" w:eastAsia="Aptos" w:hAnsi="Aptos" w:cs="Aptos"/>
                <w:i/>
                <w:iCs/>
                <w:sz w:val="20"/>
                <w:szCs w:val="20"/>
              </w:rPr>
              <w:t>Demerecviridae</w:t>
            </w:r>
            <w:r w:rsidRPr="2A3B5BB4">
              <w:rPr>
                <w:rFonts w:ascii="Aptos" w:eastAsia="Aptos" w:hAnsi="Aptos" w:cs="Aptos"/>
                <w:sz w:val="20"/>
                <w:szCs w:val="20"/>
              </w:rPr>
              <w:t>. The genus is currently comprised of 70 species.</w:t>
            </w:r>
          </w:p>
          <w:p w14:paraId="03690EB1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3690EB2" w14:textId="77777777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Proposed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taxonomic change(s):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    </w:t>
            </w:r>
          </w:p>
          <w:p w14:paraId="03690EB3" w14:textId="671EE83F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35C792F1">
              <w:rPr>
                <w:rFonts w:ascii="Aptos" w:eastAsia="Aptos" w:hAnsi="Aptos" w:cs="Aptos"/>
                <w:sz w:val="20"/>
                <w:szCs w:val="20"/>
              </w:rPr>
              <w:t xml:space="preserve">Create one new species </w:t>
            </w:r>
            <w:r w:rsidRPr="35C792F1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Tequintavirus vipecosubii </w:t>
            </w:r>
            <w:r w:rsidRPr="35C792F1">
              <w:rPr>
                <w:rFonts w:ascii="Aptos" w:eastAsia="Aptos" w:hAnsi="Aptos" w:cs="Aptos"/>
                <w:sz w:val="20"/>
                <w:szCs w:val="20"/>
              </w:rPr>
              <w:t xml:space="preserve">in the genus </w:t>
            </w:r>
            <w:r w:rsidRPr="35C792F1">
              <w:rPr>
                <w:rFonts w:ascii="Aptos" w:eastAsia="Aptos" w:hAnsi="Aptos" w:cs="Aptos"/>
                <w:i/>
                <w:iCs/>
                <w:sz w:val="20"/>
                <w:szCs w:val="20"/>
              </w:rPr>
              <w:t>Tequintavirus</w:t>
            </w:r>
            <w:r w:rsidRPr="35C792F1">
              <w:rPr>
                <w:rFonts w:ascii="Aptos" w:eastAsia="Aptos" w:hAnsi="Aptos" w:cs="Aptos"/>
                <w:sz w:val="20"/>
                <w:szCs w:val="20"/>
              </w:rPr>
              <w:t>.</w:t>
            </w:r>
          </w:p>
          <w:p w14:paraId="03690EB6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3690EB7" w14:textId="77777777" w:rsidR="003F33B7" w:rsidRDefault="00D1088F">
            <w:pPr>
              <w:rPr>
                <w:rFonts w:ascii="Aptos" w:eastAsia="Aptos" w:hAnsi="Aptos" w:cs="Aptos"/>
                <w:i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Demarcation criteria:</w:t>
            </w:r>
          </w:p>
          <w:p w14:paraId="03690EB9" w14:textId="27C98459" w:rsidR="003F33B7" w:rsidRDefault="00D1088F">
            <w:pPr>
              <w:rPr>
                <w:rFonts w:ascii="Aptos" w:eastAsia="Aptos" w:hAnsi="Aptos" w:cs="Aptos"/>
                <w:i/>
                <w:sz w:val="20"/>
                <w:szCs w:val="20"/>
              </w:rPr>
            </w:pPr>
            <w:r w:rsidRPr="2A3B5BB4">
              <w:rPr>
                <w:rFonts w:ascii="Aptos" w:eastAsia="Aptos" w:hAnsi="Aptos" w:cs="Aptos"/>
                <w:sz w:val="20"/>
                <w:szCs w:val="20"/>
              </w:rPr>
              <w:t xml:space="preserve">Species demarcation: Two phages are classified as the same species if their genomes share more than 95% identity across their entire length, as determined by VIRIDIC. [1, 2]. </w:t>
            </w:r>
          </w:p>
          <w:p w14:paraId="03690EBB" w14:textId="77777777" w:rsidR="003F33B7" w:rsidRDefault="003F33B7">
            <w:pPr>
              <w:rPr>
                <w:rFonts w:ascii="Aptos" w:eastAsia="Aptos" w:hAnsi="Aptos" w:cs="Aptos"/>
                <w:i/>
                <w:sz w:val="20"/>
                <w:szCs w:val="20"/>
              </w:rPr>
            </w:pPr>
          </w:p>
          <w:p w14:paraId="03690EBC" w14:textId="77777777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Justification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:      </w:t>
            </w:r>
          </w:p>
          <w:p w14:paraId="03690EBD" w14:textId="3369D87E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28397893">
              <w:rPr>
                <w:rFonts w:ascii="Aptos" w:eastAsia="Aptos" w:hAnsi="Aptos" w:cs="Aptos"/>
                <w:sz w:val="20"/>
                <w:szCs w:val="20"/>
              </w:rPr>
              <w:t>A n</w:t>
            </w:r>
            <w:r w:rsidR="20366D07" w:rsidRPr="28397893">
              <w:rPr>
                <w:rFonts w:ascii="Aptos" w:eastAsia="Aptos" w:hAnsi="Aptos" w:cs="Aptos"/>
                <w:sz w:val="20"/>
                <w:szCs w:val="20"/>
              </w:rPr>
              <w:t xml:space="preserve">ew </w:t>
            </w:r>
            <w:r w:rsidRPr="28397893">
              <w:rPr>
                <w:rFonts w:ascii="Aptos" w:eastAsia="Aptos" w:hAnsi="Aptos" w:cs="Aptos"/>
                <w:sz w:val="20"/>
                <w:szCs w:val="20"/>
              </w:rPr>
              <w:t xml:space="preserve">species, </w:t>
            </w:r>
            <w:r w:rsidR="7E1FD699" w:rsidRPr="28397893">
              <w:rPr>
                <w:rFonts w:ascii="Aptos" w:eastAsia="Aptos" w:hAnsi="Aptos" w:cs="Aptos"/>
                <w:sz w:val="20"/>
                <w:szCs w:val="20"/>
              </w:rPr>
              <w:t>represen</w:t>
            </w:r>
            <w:r w:rsidRPr="28397893">
              <w:rPr>
                <w:rFonts w:ascii="Aptos" w:eastAsia="Aptos" w:hAnsi="Aptos" w:cs="Aptos"/>
                <w:sz w:val="20"/>
                <w:szCs w:val="20"/>
              </w:rPr>
              <w:t xml:space="preserve">ted Escherichia phage vB_EcoS_I14, is proposed based on a 95% intergenomic similarity threshold. This newly identified species is most closely related to </w:t>
            </w:r>
            <w:r w:rsidRPr="28397893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Tequintavirus S131 </w:t>
            </w:r>
            <w:r w:rsidRPr="28397893">
              <w:rPr>
                <w:rFonts w:ascii="Aptos" w:eastAsia="Aptos" w:hAnsi="Aptos" w:cs="Aptos"/>
                <w:sz w:val="20"/>
                <w:szCs w:val="20"/>
              </w:rPr>
              <w:t xml:space="preserve">(GenBank MH370378.1), sharing 80.1% similarity (Figure 1, Figure 2). This taxonomic proposal is grounded in the principles of phylogenetic analysis and genomic comparison, providing a robust classification for this newly discovered bacteriophage. All annotated sequences and raw reads were compiled and deposited into GenBank with accession numbers as listed in Table 1. </w:t>
            </w:r>
          </w:p>
          <w:p w14:paraId="03690EBE" w14:textId="77777777" w:rsidR="003F33B7" w:rsidRDefault="003F33B7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</w:tr>
      <w:tr w:rsidR="003F33B7" w14:paraId="03690EC1" w14:textId="77777777" w:rsidTr="28397893">
        <w:tc>
          <w:tcPr>
            <w:tcW w:w="8926" w:type="dxa"/>
            <w:shd w:val="clear" w:color="auto" w:fill="F2F2F2" w:themeFill="background1" w:themeFillShade="F2"/>
          </w:tcPr>
          <w:p w14:paraId="03690EC0" w14:textId="77777777" w:rsidR="003F33B7" w:rsidRDefault="00D1088F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References:   </w:t>
            </w:r>
          </w:p>
        </w:tc>
      </w:tr>
      <w:tr w:rsidR="003F33B7" w14:paraId="03690EC6" w14:textId="77777777" w:rsidTr="28397893">
        <w:tc>
          <w:tcPr>
            <w:tcW w:w="8926" w:type="dxa"/>
          </w:tcPr>
          <w:p w14:paraId="03690EC2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3690EC3" w14:textId="77777777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1. Turner D., Kropinski AM, Adriaenssens EM (2021) A roadmap for genome-based phage taxonomy Viruses, 13(3), 506. https://doi.org/10.3390/v13030506</w:t>
            </w:r>
          </w:p>
          <w:p w14:paraId="03690EC4" w14:textId="77777777" w:rsidR="003F33B7" w:rsidRDefault="003F33B7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03690EC5" w14:textId="77777777" w:rsidR="003F33B7" w:rsidRDefault="00D1088F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2. Moraru C, Varsani A, Kropinski AM (2020) VIRIDIC — A Novel Tool to Calculate the Intergenomic Similarities of prokaryote-infecting viruses. Viruses 12(11):1268. https://doi.org/10.3390/v12111268   </w:t>
            </w:r>
          </w:p>
        </w:tc>
      </w:tr>
    </w:tbl>
    <w:p w14:paraId="03690EC7" w14:textId="77777777" w:rsidR="003F33B7" w:rsidRDefault="003F33B7">
      <w:pPr>
        <w:rPr>
          <w:rFonts w:ascii="Aptos" w:eastAsia="Aptos" w:hAnsi="Aptos" w:cs="Aptos"/>
          <w:color w:val="808080"/>
          <w:sz w:val="20"/>
          <w:szCs w:val="20"/>
        </w:rPr>
      </w:pPr>
    </w:p>
    <w:tbl>
      <w:tblPr>
        <w:tblStyle w:val="af1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663"/>
      </w:tblGrid>
      <w:tr w:rsidR="003F33B7" w14:paraId="03690EC9" w14:textId="77777777">
        <w:trPr>
          <w:trHeight w:val="297"/>
        </w:trPr>
        <w:tc>
          <w:tcPr>
            <w:tcW w:w="8926" w:type="dxa"/>
            <w:gridSpan w:val="2"/>
            <w:shd w:val="clear" w:color="auto" w:fill="F2F2F2"/>
          </w:tcPr>
          <w:p w14:paraId="03690EC8" w14:textId="13A2B818" w:rsidR="003F33B7" w:rsidRDefault="00D1088F">
            <w:pPr>
              <w:rPr>
                <w:rFonts w:ascii="Aptos" w:eastAsia="Aptos" w:hAnsi="Aptos" w:cs="Aptos"/>
                <w:b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Accompanying files: </w:t>
            </w:r>
          </w:p>
        </w:tc>
      </w:tr>
      <w:tr w:rsidR="003F33B7" w14:paraId="03690ECC" w14:textId="77777777">
        <w:trPr>
          <w:trHeight w:val="73"/>
        </w:trPr>
        <w:tc>
          <w:tcPr>
            <w:tcW w:w="2263" w:type="dxa"/>
          </w:tcPr>
          <w:p w14:paraId="03690ECA" w14:textId="77777777" w:rsidR="003F33B7" w:rsidRDefault="00D1088F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03690ECB" w14:textId="77777777" w:rsidR="003F33B7" w:rsidRDefault="00D1088F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Description of contents</w:t>
            </w:r>
          </w:p>
        </w:tc>
      </w:tr>
      <w:tr w:rsidR="003F33B7" w14:paraId="03690ECF" w14:textId="77777777">
        <w:trPr>
          <w:trHeight w:val="71"/>
        </w:trPr>
        <w:tc>
          <w:tcPr>
            <w:tcW w:w="2263" w:type="dxa"/>
          </w:tcPr>
          <w:p w14:paraId="03690ECD" w14:textId="77777777" w:rsidR="003F33B7" w:rsidRDefault="003F33B7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03690ECE" w14:textId="77777777" w:rsidR="003F33B7" w:rsidRDefault="003F33B7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</w:tr>
      <w:tr w:rsidR="003F33B7" w14:paraId="03690ED2" w14:textId="77777777">
        <w:trPr>
          <w:trHeight w:val="71"/>
        </w:trPr>
        <w:tc>
          <w:tcPr>
            <w:tcW w:w="2263" w:type="dxa"/>
          </w:tcPr>
          <w:p w14:paraId="03690ED0" w14:textId="77777777" w:rsidR="003F33B7" w:rsidRDefault="003F33B7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03690ED1" w14:textId="77777777" w:rsidR="003F33B7" w:rsidRDefault="003F33B7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</w:tr>
    </w:tbl>
    <w:p w14:paraId="03690ED3" w14:textId="77777777" w:rsidR="003F33B7" w:rsidRDefault="003F33B7"/>
    <w:tbl>
      <w:tblPr>
        <w:tblStyle w:val="af2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3F33B7" w14:paraId="03690ED9" w14:textId="77777777">
        <w:tc>
          <w:tcPr>
            <w:tcW w:w="8926" w:type="dxa"/>
            <w:shd w:val="clear" w:color="auto" w:fill="F2F2F2"/>
          </w:tcPr>
          <w:p w14:paraId="03690ED8" w14:textId="4911F689" w:rsidR="003F33B7" w:rsidRDefault="00D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Tables, Figures:  </w:t>
            </w:r>
          </w:p>
        </w:tc>
      </w:tr>
    </w:tbl>
    <w:p w14:paraId="03690EDB" w14:textId="70E0DD92" w:rsidR="003F33B7" w:rsidRDefault="00D1088F">
      <w:pPr>
        <w:spacing w:before="240"/>
        <w:rPr>
          <w:rFonts w:ascii="Aptos" w:eastAsia="Aptos" w:hAnsi="Aptos" w:cs="Aptos"/>
          <w:color w:val="808080"/>
          <w:sz w:val="20"/>
          <w:szCs w:val="20"/>
        </w:rPr>
      </w:pPr>
      <w:r>
        <w:rPr>
          <w:rFonts w:ascii="Aptos" w:eastAsia="Aptos" w:hAnsi="Aptos" w:cs="Aptos"/>
          <w:color w:val="808080"/>
          <w:sz w:val="20"/>
          <w:szCs w:val="20"/>
        </w:rPr>
        <w:lastRenderedPageBreak/>
        <w:t>&lt;Start here&gt;</w:t>
      </w:r>
      <w:r>
        <w:rPr>
          <w:rFonts w:ascii="Aptos" w:eastAsia="Aptos" w:hAnsi="Aptos" w:cs="Aptos"/>
          <w:noProof/>
          <w:color w:val="808080"/>
          <w:sz w:val="20"/>
          <w:szCs w:val="20"/>
        </w:rPr>
        <w:drawing>
          <wp:inline distT="114300" distB="114300" distL="114300" distR="114300" wp14:anchorId="03690F0F" wp14:editId="03690F10">
            <wp:extent cx="6959761" cy="8101013"/>
            <wp:effectExtent l="0" t="0" r="0" b="0"/>
            <wp:docPr id="10" name="image3.png" descr="A diagram of a barcod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diagram of a barcode&#10;&#10;AI-generated content may be incorrect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9761" cy="8101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690EDC" w14:textId="77777777" w:rsidR="003F33B7" w:rsidRDefault="003F33B7">
      <w:pPr>
        <w:spacing w:before="240"/>
        <w:rPr>
          <w:rFonts w:ascii="Aptos" w:eastAsia="Aptos" w:hAnsi="Aptos" w:cs="Aptos"/>
          <w:color w:val="808080"/>
          <w:sz w:val="20"/>
          <w:szCs w:val="20"/>
        </w:rPr>
      </w:pPr>
    </w:p>
    <w:p w14:paraId="03690EDD" w14:textId="77777777" w:rsidR="003F33B7" w:rsidRDefault="00D1088F">
      <w:pPr>
        <w:spacing w:before="240"/>
        <w:jc w:val="center"/>
        <w:rPr>
          <w:rFonts w:ascii="Arial" w:eastAsia="Arial" w:hAnsi="Arial" w:cs="Arial"/>
          <w:b/>
          <w:sz w:val="22"/>
          <w:szCs w:val="22"/>
          <w:highlight w:val="white"/>
        </w:rPr>
        <w:sectPr w:rsidR="003F33B7" w:rsidSect="003D0BA6">
          <w:pgSz w:w="11906" w:h="16838"/>
          <w:pgMar w:top="1440" w:right="1133" w:bottom="993" w:left="851" w:header="708" w:footer="0" w:gutter="0"/>
          <w:pgNumType w:start="1"/>
          <w:cols w:space="720"/>
        </w:sectPr>
      </w:pPr>
      <w:r>
        <w:rPr>
          <w:rFonts w:ascii="Arial" w:eastAsia="Arial" w:hAnsi="Arial" w:cs="Arial"/>
          <w:b/>
          <w:sz w:val="22"/>
          <w:szCs w:val="22"/>
          <w:highlight w:val="white"/>
        </w:rPr>
        <w:t xml:space="preserve">Figure 1. Intergenomic similarity scores (VIRIDIC) of phages classified within the genus </w:t>
      </w:r>
      <w:r>
        <w:rPr>
          <w:rFonts w:ascii="Arial" w:eastAsia="Arial" w:hAnsi="Arial" w:cs="Arial"/>
          <w:b/>
          <w:i/>
          <w:sz w:val="22"/>
          <w:szCs w:val="22"/>
          <w:highlight w:val="white"/>
        </w:rPr>
        <w:t>Tequintavirus</w:t>
      </w:r>
      <w:r>
        <w:rPr>
          <w:rFonts w:ascii="Arial" w:eastAsia="Arial" w:hAnsi="Arial" w:cs="Arial"/>
          <w:b/>
          <w:sz w:val="22"/>
          <w:szCs w:val="22"/>
          <w:highlight w:val="white"/>
        </w:rPr>
        <w:t xml:space="preserve">. </w:t>
      </w:r>
    </w:p>
    <w:p w14:paraId="03690EDE" w14:textId="77777777" w:rsidR="003F33B7" w:rsidRDefault="00D1088F">
      <w:pPr>
        <w:spacing w:before="240"/>
        <w:jc w:val="center"/>
        <w:rPr>
          <w:rFonts w:ascii="Aptos" w:eastAsia="Aptos" w:hAnsi="Aptos" w:cs="Aptos"/>
          <w:color w:val="808080"/>
          <w:sz w:val="20"/>
          <w:szCs w:val="20"/>
        </w:rPr>
      </w:pPr>
      <w:r>
        <w:rPr>
          <w:rFonts w:ascii="Aptos" w:eastAsia="Aptos" w:hAnsi="Aptos" w:cs="Aptos"/>
          <w:noProof/>
          <w:color w:val="808080"/>
          <w:sz w:val="20"/>
          <w:szCs w:val="20"/>
        </w:rPr>
        <w:lastRenderedPageBreak/>
        <w:drawing>
          <wp:inline distT="114300" distB="114300" distL="114300" distR="114300" wp14:anchorId="03690F11" wp14:editId="03690F12">
            <wp:extent cx="5926145" cy="6718300"/>
            <wp:effectExtent l="0" t="0" r="0" b="0"/>
            <wp:docPr id="9" name="image2.png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screenshot of a computer&#10;&#10;AI-generated content may be incorrect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6145" cy="671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690EDF" w14:textId="77777777" w:rsidR="003F33B7" w:rsidRDefault="00D1088F">
      <w:pPr>
        <w:spacing w:before="240"/>
        <w:jc w:val="center"/>
        <w:rPr>
          <w:rFonts w:ascii="Arial" w:eastAsia="Arial" w:hAnsi="Arial" w:cs="Arial"/>
          <w:b/>
          <w:sz w:val="22"/>
          <w:szCs w:val="22"/>
          <w:highlight w:val="white"/>
        </w:rPr>
      </w:pPr>
      <w:r>
        <w:rPr>
          <w:rFonts w:ascii="Arial" w:eastAsia="Arial" w:hAnsi="Arial" w:cs="Arial"/>
          <w:b/>
          <w:sz w:val="22"/>
          <w:szCs w:val="22"/>
          <w:highlight w:val="white"/>
        </w:rPr>
        <w:t>Figure 2. Closeup image from Figure 1 of closely related species of Escherichia phage vB_EcoS_I14</w:t>
      </w:r>
    </w:p>
    <w:p w14:paraId="03690EE0" w14:textId="77777777" w:rsidR="003F33B7" w:rsidRDefault="00D1088F">
      <w:pPr>
        <w:spacing w:before="240"/>
        <w:jc w:val="center"/>
        <w:rPr>
          <w:rFonts w:ascii="Arial" w:eastAsia="Arial" w:hAnsi="Arial" w:cs="Arial"/>
          <w:b/>
          <w:sz w:val="22"/>
          <w:szCs w:val="22"/>
          <w:highlight w:val="white"/>
        </w:rPr>
      </w:pPr>
      <w:r>
        <w:br w:type="page"/>
      </w:r>
    </w:p>
    <w:p w14:paraId="03690EE1" w14:textId="77777777" w:rsidR="003F33B7" w:rsidRDefault="00D1088F">
      <w:pPr>
        <w:spacing w:before="240"/>
        <w:jc w:val="center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b/>
          <w:sz w:val="22"/>
          <w:szCs w:val="22"/>
          <w:highlight w:val="white"/>
        </w:rPr>
        <w:lastRenderedPageBreak/>
        <w:t>Table 1. Summary of molecular features of Escherichia phage vB_EcoS_I14.</w:t>
      </w:r>
    </w:p>
    <w:p w14:paraId="03690EE2" w14:textId="77777777" w:rsidR="003F33B7" w:rsidRDefault="003F33B7">
      <w:pPr>
        <w:spacing w:before="240"/>
        <w:rPr>
          <w:rFonts w:ascii="Arial" w:eastAsia="Arial" w:hAnsi="Arial" w:cs="Arial"/>
          <w:b/>
          <w:sz w:val="22"/>
          <w:szCs w:val="22"/>
          <w:highlight w:val="white"/>
        </w:rPr>
      </w:pPr>
    </w:p>
    <w:tbl>
      <w:tblPr>
        <w:tblStyle w:val="af3"/>
        <w:tblW w:w="597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95"/>
        <w:gridCol w:w="3078"/>
      </w:tblGrid>
      <w:tr w:rsidR="003F33B7" w14:paraId="03690EE5" w14:textId="77777777">
        <w:trPr>
          <w:jc w:val="center"/>
        </w:trPr>
        <w:tc>
          <w:tcPr>
            <w:tcW w:w="2895" w:type="dxa"/>
            <w:tcBorders>
              <w:left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90EE3" w14:textId="77777777" w:rsidR="003F33B7" w:rsidRDefault="003F33B7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078" w:type="dxa"/>
            <w:tcBorders>
              <w:left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90EE4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Escherichia phage vB_EcoS_I14</w:t>
            </w:r>
          </w:p>
        </w:tc>
      </w:tr>
      <w:tr w:rsidR="003F33B7" w14:paraId="03690F04" w14:textId="77777777">
        <w:trPr>
          <w:jc w:val="center"/>
        </w:trPr>
        <w:tc>
          <w:tcPr>
            <w:tcW w:w="289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90EE6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Genome size (bp)</w:t>
            </w:r>
          </w:p>
          <w:p w14:paraId="03690EE7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GC content (%)</w:t>
            </w:r>
          </w:p>
          <w:p w14:paraId="03690EE8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Coverage</w:t>
            </w:r>
          </w:p>
          <w:p w14:paraId="03690EE9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No. of CDS</w:t>
            </w:r>
          </w:p>
          <w:p w14:paraId="03690EEA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No. of genes with predicted function</w:t>
            </w:r>
          </w:p>
          <w:p w14:paraId="03690EEB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No. of tRNAs</w:t>
            </w:r>
          </w:p>
          <w:p w14:paraId="03690EEC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Lifestyle prediction</w:t>
            </w:r>
          </w:p>
          <w:p w14:paraId="03690EED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Taxonomic identity</w:t>
            </w:r>
          </w:p>
          <w:p w14:paraId="03690EEE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Temperate marker genes</w:t>
            </w:r>
          </w:p>
          <w:p w14:paraId="03690EEF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Presence of antibiotic resistance genes</w:t>
            </w:r>
          </w:p>
          <w:p w14:paraId="03690EF0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Presence of virulence genes</w:t>
            </w:r>
          </w:p>
          <w:p w14:paraId="03690EF1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BioProject accession no.</w:t>
            </w:r>
          </w:p>
          <w:p w14:paraId="03690EF2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SRA accession no. </w:t>
            </w:r>
          </w:p>
          <w:p w14:paraId="03690EF3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GenBank accession no. </w:t>
            </w:r>
          </w:p>
        </w:tc>
        <w:tc>
          <w:tcPr>
            <w:tcW w:w="3078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90EF4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97,251</w:t>
            </w:r>
          </w:p>
          <w:p w14:paraId="03690EF5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38.88%</w:t>
            </w:r>
          </w:p>
          <w:p w14:paraId="03690EF6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68.328727x</w:t>
            </w:r>
          </w:p>
          <w:p w14:paraId="03690EF7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169</w:t>
            </w:r>
          </w:p>
          <w:p w14:paraId="03690EF8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69 </w:t>
            </w:r>
          </w:p>
          <w:p w14:paraId="03690EF9" w14:textId="77777777" w:rsidR="003F33B7" w:rsidRDefault="003F33B7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  <w:p w14:paraId="03690EFA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25</w:t>
            </w:r>
          </w:p>
          <w:p w14:paraId="03690EFB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lytic </w:t>
            </w:r>
          </w:p>
          <w:p w14:paraId="03690EFC" w14:textId="77777777" w:rsidR="003F33B7" w:rsidRDefault="00D1088F">
            <w:pPr>
              <w:widowControl w:val="0"/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  <w:t>Tequintavirus sp.</w:t>
            </w:r>
          </w:p>
          <w:p w14:paraId="03690EFD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  <w:t>-</w:t>
            </w:r>
          </w:p>
          <w:p w14:paraId="03690EFE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  <w:t>-</w:t>
            </w:r>
          </w:p>
          <w:p w14:paraId="03690EFF" w14:textId="77777777" w:rsidR="003F33B7" w:rsidRDefault="003F33B7">
            <w:pPr>
              <w:widowControl w:val="0"/>
              <w:spacing w:line="276" w:lineRule="auto"/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</w:pPr>
          </w:p>
          <w:p w14:paraId="03690F00" w14:textId="77777777" w:rsidR="003F33B7" w:rsidRDefault="00D1088F">
            <w:pPr>
              <w:widowControl w:val="0"/>
              <w:spacing w:line="276" w:lineRule="auto"/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  <w:t>-</w:t>
            </w:r>
          </w:p>
          <w:p w14:paraId="03690F01" w14:textId="77777777" w:rsidR="003F33B7" w:rsidRDefault="007655C2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hyperlink r:id="rId13">
              <w:r w:rsidR="003F33B7">
                <w:rPr>
                  <w:rFonts w:ascii="Arial" w:eastAsia="Arial" w:hAnsi="Arial" w:cs="Arial"/>
                  <w:color w:val="1155CC"/>
                  <w:sz w:val="20"/>
                  <w:szCs w:val="20"/>
                  <w:highlight w:val="white"/>
                  <w:u w:val="single"/>
                </w:rPr>
                <w:t>PRJNA1123417</w:t>
              </w:r>
            </w:hyperlink>
          </w:p>
          <w:p w14:paraId="03690F02" w14:textId="77777777" w:rsidR="003F33B7" w:rsidRDefault="007655C2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hyperlink r:id="rId14">
              <w:r w:rsidR="003F33B7">
                <w:rPr>
                  <w:rFonts w:ascii="Arial" w:eastAsia="Arial" w:hAnsi="Arial" w:cs="Arial"/>
                  <w:color w:val="1155CC"/>
                  <w:sz w:val="20"/>
                  <w:szCs w:val="20"/>
                  <w:highlight w:val="white"/>
                  <w:u w:val="single"/>
                </w:rPr>
                <w:t>SRR30124319</w:t>
              </w:r>
            </w:hyperlink>
          </w:p>
          <w:p w14:paraId="03690F03" w14:textId="77777777" w:rsidR="003F33B7" w:rsidRDefault="007655C2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  <w:hyperlink r:id="rId15">
              <w:r w:rsidR="003F33B7">
                <w:rPr>
                  <w:rFonts w:ascii="Arial" w:eastAsia="Arial" w:hAnsi="Arial" w:cs="Arial"/>
                  <w:color w:val="1155CC"/>
                  <w:sz w:val="20"/>
                  <w:szCs w:val="20"/>
                  <w:highlight w:val="white"/>
                  <w:u w:val="single"/>
                </w:rPr>
                <w:t>PP892525</w:t>
              </w:r>
            </w:hyperlink>
          </w:p>
        </w:tc>
      </w:tr>
    </w:tbl>
    <w:p w14:paraId="03690F05" w14:textId="77777777" w:rsidR="003F33B7" w:rsidRDefault="003F33B7">
      <w:pPr>
        <w:spacing w:before="240"/>
        <w:rPr>
          <w:rFonts w:ascii="Arial" w:eastAsia="Arial" w:hAnsi="Arial" w:cs="Arial"/>
          <w:b/>
          <w:sz w:val="22"/>
          <w:szCs w:val="22"/>
          <w:highlight w:val="white"/>
        </w:rPr>
      </w:pPr>
    </w:p>
    <w:p w14:paraId="03690F06" w14:textId="77777777" w:rsidR="003F33B7" w:rsidRDefault="003F33B7">
      <w:pPr>
        <w:rPr>
          <w:rFonts w:ascii="Aptos" w:eastAsia="Aptos" w:hAnsi="Aptos" w:cs="Aptos"/>
          <w:color w:val="808080"/>
          <w:sz w:val="20"/>
          <w:szCs w:val="20"/>
        </w:rPr>
      </w:pPr>
    </w:p>
    <w:p w14:paraId="03690F07" w14:textId="77777777" w:rsidR="003F33B7" w:rsidRDefault="003F33B7">
      <w:pPr>
        <w:spacing w:before="240"/>
        <w:rPr>
          <w:rFonts w:ascii="Arial" w:eastAsia="Arial" w:hAnsi="Arial" w:cs="Arial"/>
          <w:b/>
          <w:sz w:val="22"/>
          <w:szCs w:val="22"/>
          <w:highlight w:val="white"/>
        </w:rPr>
      </w:pPr>
    </w:p>
    <w:p w14:paraId="03690F08" w14:textId="77777777" w:rsidR="003F33B7" w:rsidRDefault="003F33B7">
      <w:pPr>
        <w:spacing w:before="240"/>
        <w:rPr>
          <w:rFonts w:ascii="Arial" w:eastAsia="Arial" w:hAnsi="Arial" w:cs="Arial"/>
          <w:b/>
          <w:sz w:val="22"/>
          <w:szCs w:val="22"/>
          <w:highlight w:val="white"/>
        </w:rPr>
      </w:pPr>
    </w:p>
    <w:p w14:paraId="03690F09" w14:textId="77777777" w:rsidR="003F33B7" w:rsidRDefault="003F33B7">
      <w:pPr>
        <w:spacing w:before="240"/>
        <w:rPr>
          <w:rFonts w:ascii="Arial" w:eastAsia="Arial" w:hAnsi="Arial" w:cs="Arial"/>
          <w:b/>
          <w:sz w:val="22"/>
          <w:szCs w:val="22"/>
          <w:highlight w:val="white"/>
        </w:rPr>
      </w:pPr>
    </w:p>
    <w:p w14:paraId="03690F0A" w14:textId="77777777" w:rsidR="003F33B7" w:rsidRDefault="003F33B7">
      <w:pPr>
        <w:spacing w:before="240"/>
        <w:rPr>
          <w:rFonts w:ascii="Arial" w:eastAsia="Arial" w:hAnsi="Arial" w:cs="Arial"/>
          <w:b/>
          <w:sz w:val="22"/>
          <w:szCs w:val="22"/>
          <w:highlight w:val="white"/>
        </w:rPr>
      </w:pPr>
    </w:p>
    <w:p w14:paraId="03690F0C" w14:textId="77777777" w:rsidR="003F33B7" w:rsidRDefault="003F33B7">
      <w:pPr>
        <w:rPr>
          <w:rFonts w:ascii="Aptos" w:eastAsia="Aptos" w:hAnsi="Aptos" w:cs="Aptos"/>
          <w:color w:val="0070C0"/>
        </w:rPr>
      </w:pPr>
    </w:p>
    <w:sectPr w:rsidR="003F33B7">
      <w:headerReference w:type="default" r:id="rId16"/>
      <w:footerReference w:type="default" r:id="rId17"/>
      <w:pgSz w:w="11906" w:h="16838"/>
      <w:pgMar w:top="1440" w:right="1133" w:bottom="993" w:left="144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4A88E" w14:textId="77777777" w:rsidR="007655C2" w:rsidRDefault="007655C2">
      <w:r>
        <w:separator/>
      </w:r>
    </w:p>
  </w:endnote>
  <w:endnote w:type="continuationSeparator" w:id="0">
    <w:p w14:paraId="79D838DE" w14:textId="77777777" w:rsidR="007655C2" w:rsidRDefault="0076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2CBADAE4-007D-4C6C-8842-37749196BCA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54C410B8-EB35-4D76-BE17-23DACB86B248}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6A8B667-2701-4C8C-BEC0-BF44507D077F}"/>
    <w:embedItalic r:id="rId4" w:fontKey="{E912D111-2BEB-41E1-8A81-7F9BB73E8932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0F5768F8-7A27-471B-B7E5-DC3EC14590AE}"/>
    <w:embedBold r:id="rId6" w:fontKey="{9222A8C0-5A02-43D8-ACC2-82D2E940DE29}"/>
    <w:embedItalic r:id="rId7" w:fontKey="{429CA346-8544-47C7-B8E3-7A6F2965FBCE}"/>
    <w:embedBoldItalic r:id="rId8" w:fontKey="{490E9D26-763F-4E02-92B6-CB2D812E37A7}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28A40C8C-4A4D-472E-804A-FBCE7B16BA32}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  <w:embedRegular r:id="rId10" w:fontKey="{207181A6-CA44-461B-B4C3-16DB3DA6AE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CA3A3B25-0279-4255-B00C-22906E2E89E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BFA4A3B8-1FCD-49FB-B33E-C841BCE257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90F15" w14:textId="5CCE37D2" w:rsidR="003F33B7" w:rsidRDefault="00D1088F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Aptos" w:eastAsia="Aptos" w:hAnsi="Aptos" w:cs="Aptos"/>
        <w:b/>
        <w:color w:val="000000"/>
        <w:sz w:val="16"/>
        <w:szCs w:val="16"/>
      </w:rPr>
    </w:pPr>
    <w:r>
      <w:rPr>
        <w:rFonts w:ascii="Aptos" w:eastAsia="Aptos" w:hAnsi="Aptos" w:cs="Aptos"/>
        <w:color w:val="000000"/>
        <w:sz w:val="16"/>
        <w:szCs w:val="16"/>
      </w:rPr>
      <w:fldChar w:fldCharType="begin"/>
    </w:r>
    <w:r>
      <w:rPr>
        <w:rFonts w:ascii="Aptos" w:eastAsia="Aptos" w:hAnsi="Aptos" w:cs="Aptos"/>
        <w:color w:val="000000"/>
        <w:sz w:val="16"/>
        <w:szCs w:val="16"/>
      </w:rPr>
      <w:instrText>PAGE</w:instrText>
    </w:r>
    <w:r>
      <w:rPr>
        <w:rFonts w:ascii="Aptos" w:eastAsia="Aptos" w:hAnsi="Aptos" w:cs="Aptos"/>
        <w:color w:val="000000"/>
        <w:sz w:val="16"/>
        <w:szCs w:val="16"/>
      </w:rPr>
      <w:fldChar w:fldCharType="separate"/>
    </w:r>
    <w:r w:rsidR="002E0AED">
      <w:rPr>
        <w:rFonts w:ascii="Aptos" w:eastAsia="Aptos" w:hAnsi="Aptos" w:cs="Aptos"/>
        <w:noProof/>
        <w:color w:val="000000"/>
        <w:sz w:val="16"/>
        <w:szCs w:val="16"/>
      </w:rPr>
      <w:t>10</w:t>
    </w:r>
    <w:r>
      <w:rPr>
        <w:rFonts w:ascii="Aptos" w:eastAsia="Aptos" w:hAnsi="Aptos" w:cs="Aptos"/>
        <w:color w:val="000000"/>
        <w:sz w:val="16"/>
        <w:szCs w:val="16"/>
      </w:rPr>
      <w:fldChar w:fldCharType="end"/>
    </w:r>
    <w:r>
      <w:rPr>
        <w:rFonts w:ascii="Aptos" w:eastAsia="Aptos" w:hAnsi="Aptos" w:cs="Aptos"/>
        <w:b/>
        <w:color w:val="000000"/>
        <w:sz w:val="16"/>
        <w:szCs w:val="16"/>
      </w:rPr>
      <w:t xml:space="preserve"> | </w:t>
    </w:r>
    <w:r>
      <w:rPr>
        <w:rFonts w:ascii="Aptos" w:eastAsia="Aptos" w:hAnsi="Aptos" w:cs="Aptos"/>
        <w:color w:val="7F7F7F"/>
        <w:sz w:val="16"/>
        <w:szCs w:val="16"/>
      </w:rPr>
      <w:t>Page</w:t>
    </w:r>
  </w:p>
  <w:p w14:paraId="03690F16" w14:textId="77777777" w:rsidR="003F33B7" w:rsidRDefault="003F33B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A298B" w14:textId="77777777" w:rsidR="007655C2" w:rsidRDefault="007655C2">
      <w:r>
        <w:separator/>
      </w:r>
    </w:p>
  </w:footnote>
  <w:footnote w:type="continuationSeparator" w:id="0">
    <w:p w14:paraId="1299071D" w14:textId="77777777" w:rsidR="007655C2" w:rsidRDefault="0076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90F14" w14:textId="77777777" w:rsidR="003F33B7" w:rsidRDefault="00D108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i/>
        <w:color w:val="000000"/>
        <w:sz w:val="18"/>
        <w:szCs w:val="18"/>
      </w:rPr>
    </w:pPr>
    <w:r>
      <w:rPr>
        <w:rFonts w:ascii="Aptos" w:eastAsia="Aptos" w:hAnsi="Aptos" w:cs="Aptos"/>
        <w:i/>
        <w:color w:val="000000"/>
        <w:sz w:val="18"/>
        <w:szCs w:val="18"/>
      </w:rPr>
      <w:t>ICTV Taxonomy Proposal Form 2025 v.2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3690F17" wp14:editId="03690F18">
          <wp:simplePos x="0" y="0"/>
          <wp:positionH relativeFrom="column">
            <wp:posOffset>243444</wp:posOffset>
          </wp:positionH>
          <wp:positionV relativeFrom="paragraph">
            <wp:posOffset>-105830</wp:posOffset>
          </wp:positionV>
          <wp:extent cx="560705" cy="344170"/>
          <wp:effectExtent l="0" t="0" r="0" b="0"/>
          <wp:wrapSquare wrapText="bothSides" distT="0" distB="0" distL="114300" distR="11430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0705" cy="344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11DD5"/>
    <w:multiLevelType w:val="multilevel"/>
    <w:tmpl w:val="458CA07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4334C44"/>
    <w:multiLevelType w:val="multilevel"/>
    <w:tmpl w:val="104207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02A5B8A"/>
    <w:multiLevelType w:val="multilevel"/>
    <w:tmpl w:val="17A8FF4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3B7"/>
    <w:rsid w:val="002E0AED"/>
    <w:rsid w:val="00316E99"/>
    <w:rsid w:val="003D0BA6"/>
    <w:rsid w:val="003F33B7"/>
    <w:rsid w:val="007655C2"/>
    <w:rsid w:val="00B43022"/>
    <w:rsid w:val="00B80910"/>
    <w:rsid w:val="00BF4B48"/>
    <w:rsid w:val="00D1088F"/>
    <w:rsid w:val="00E627EE"/>
    <w:rsid w:val="00F44CD1"/>
    <w:rsid w:val="086C08F2"/>
    <w:rsid w:val="087343F8"/>
    <w:rsid w:val="0D16A730"/>
    <w:rsid w:val="1F2FB7A5"/>
    <w:rsid w:val="20366D07"/>
    <w:rsid w:val="28397893"/>
    <w:rsid w:val="2A3B5BB4"/>
    <w:rsid w:val="35C792F1"/>
    <w:rsid w:val="3E7EE64B"/>
    <w:rsid w:val="401D5657"/>
    <w:rsid w:val="686312DD"/>
    <w:rsid w:val="6B420004"/>
    <w:rsid w:val="7D99E985"/>
    <w:rsid w:val="7E1FD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90D31"/>
  <w15:docId w15:val="{81540E41-1EC9-4A88-88B1-9BF2EAE0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0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cbi.nlm.nih.gov/bioproject/PRJNA112341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nuccore/PP892525" TargetMode="External"/><Relationship Id="rId10" Type="http://schemas.openxmlformats.org/officeDocument/2006/relationships/hyperlink" Target="https://ictv.global/taxonomy/template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hyperlink" Target="https://trace.ncbi.nlm.nih.gov/Traces/?view=run_browser&amp;acc=SRR30124319&amp;display=metadat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t98QAyDat5Lz7bpbDL7Ot/Lwcw==">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1027</Words>
  <Characters>5859</Characters>
  <Application>Microsoft Office Word</Application>
  <DocSecurity>0</DocSecurity>
  <Lines>48</Lines>
  <Paragraphs>13</Paragraphs>
  <ScaleCrop>false</ScaleCrop>
  <Company>UWE Bristol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Simmonds</dc:creator>
  <cp:lastModifiedBy>Peter Simmonds</cp:lastModifiedBy>
  <cp:revision>8</cp:revision>
  <dcterms:created xsi:type="dcterms:W3CDTF">2025-03-25T08:46:00Z</dcterms:created>
  <dcterms:modified xsi:type="dcterms:W3CDTF">2025-09-18T07:29:00Z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