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9FE6" w14:textId="77777777" w:rsidR="00EE11BD" w:rsidRDefault="00F70457">
      <w:pPr>
        <w:rPr>
          <w:rFonts w:ascii="Aptos" w:hAnsi="Aptos"/>
          <w:lang w:val="en-IE"/>
        </w:rPr>
      </w:pPr>
      <w:bookmarkStart w:id="0" w:name="_Hlk209622965"/>
      <w:bookmarkEnd w:id="0"/>
      <w:r>
        <w:rPr>
          <w:noProof/>
        </w:rPr>
        <w:drawing>
          <wp:anchor distT="0" distB="0" distL="114300" distR="114300" simplePos="0" relativeHeight="42" behindDoc="0" locked="0" layoutInCell="0" allowOverlap="1" wp14:anchorId="5B38E61E" wp14:editId="30E0FD38">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lang w:val="en-IE"/>
        </w:rPr>
        <w:tab/>
      </w:r>
    </w:p>
    <w:p w14:paraId="59E2F00D" w14:textId="77777777" w:rsidR="00EE11BD" w:rsidRDefault="00EE11BD">
      <w:pPr>
        <w:rPr>
          <w:rFonts w:ascii="Aptos" w:hAnsi="Aptos" w:cs="Arial"/>
          <w:color w:val="0000FF"/>
          <w:sz w:val="20"/>
          <w:szCs w:val="20"/>
          <w:lang w:val="en-IE"/>
        </w:rPr>
      </w:pPr>
    </w:p>
    <w:p w14:paraId="72201715" w14:textId="77777777" w:rsidR="00EE11BD" w:rsidRDefault="00EE11BD">
      <w:pPr>
        <w:rPr>
          <w:rFonts w:ascii="Aptos" w:hAnsi="Aptos" w:cs="Arial"/>
          <w:color w:val="0000FF"/>
          <w:sz w:val="20"/>
          <w:szCs w:val="20"/>
          <w:lang w:val="en-IE"/>
        </w:rPr>
      </w:pPr>
    </w:p>
    <w:p w14:paraId="54228434" w14:textId="77777777" w:rsidR="00EE11BD" w:rsidRDefault="00EE11BD">
      <w:pPr>
        <w:rPr>
          <w:rFonts w:ascii="Aptos" w:hAnsi="Aptos" w:cs="Arial"/>
          <w:color w:val="0000FF"/>
          <w:sz w:val="20"/>
          <w:szCs w:val="20"/>
          <w:lang w:val="en-IE"/>
        </w:rPr>
      </w:pPr>
    </w:p>
    <w:p w14:paraId="4B36973B" w14:textId="77777777" w:rsidR="00EE11BD" w:rsidRDefault="00EE11BD">
      <w:pPr>
        <w:rPr>
          <w:rFonts w:ascii="Aptos" w:hAnsi="Aptos" w:cs="Arial"/>
          <w:color w:val="0000FF"/>
          <w:sz w:val="20"/>
          <w:szCs w:val="20"/>
          <w:lang w:val="en-IE"/>
        </w:rPr>
      </w:pPr>
    </w:p>
    <w:p w14:paraId="08549232" w14:textId="77777777" w:rsidR="00EE11BD" w:rsidRDefault="00EE11BD">
      <w:pPr>
        <w:rPr>
          <w:rFonts w:ascii="Aptos" w:hAnsi="Aptos" w:cs="Arial"/>
          <w:color w:val="0000FF"/>
          <w:sz w:val="20"/>
          <w:szCs w:val="20"/>
          <w:lang w:val="en-IE"/>
        </w:rPr>
      </w:pPr>
    </w:p>
    <w:p w14:paraId="2F7940E3" w14:textId="77777777" w:rsidR="00EE11BD" w:rsidRDefault="00F70457">
      <w:pPr>
        <w:jc w:val="center"/>
        <w:rPr>
          <w:rFonts w:ascii="Aptos SemiBold" w:hAnsi="Aptos SemiBold" w:cs="Arial"/>
          <w:color w:val="000000" w:themeColor="text1"/>
          <w:lang w:val="en-IE"/>
        </w:rPr>
      </w:pPr>
      <w:r>
        <w:rPr>
          <w:rFonts w:ascii="Aptos SemiBold" w:hAnsi="Aptos SemiBold" w:cs="Arial"/>
          <w:color w:val="000000" w:themeColor="text1"/>
          <w:lang w:val="en-IE"/>
        </w:rPr>
        <w:t>The International Committee on Taxonomy of Viruses</w:t>
      </w:r>
    </w:p>
    <w:p w14:paraId="59BB0B32" w14:textId="77777777" w:rsidR="00EE11BD" w:rsidRDefault="00F70457">
      <w:pPr>
        <w:jc w:val="center"/>
        <w:rPr>
          <w:rFonts w:ascii="Aptos SemiBold" w:hAnsi="Aptos SemiBold" w:cs="Arial"/>
          <w:color w:val="000000" w:themeColor="text1"/>
          <w:lang w:val="en-IE"/>
        </w:rPr>
      </w:pPr>
      <w:r>
        <w:rPr>
          <w:rFonts w:ascii="Aptos SemiBold" w:hAnsi="Aptos SemiBold" w:cs="Arial"/>
          <w:color w:val="000000" w:themeColor="text1"/>
          <w:lang w:val="en-IE"/>
        </w:rPr>
        <w:t xml:space="preserve">Taxonomy Proposal Form, 2025 </w:t>
      </w:r>
    </w:p>
    <w:p w14:paraId="77A968FC" w14:textId="77777777" w:rsidR="00EE11BD" w:rsidRDefault="00EE11BD">
      <w:pPr>
        <w:rPr>
          <w:rFonts w:ascii="Aptos SemiBold" w:hAnsi="Aptos SemiBold" w:cs="Arial"/>
          <w:color w:val="0000FF"/>
          <w:lang w:val="en-IE"/>
        </w:rPr>
      </w:pPr>
    </w:p>
    <w:p w14:paraId="1FC7DF92" w14:textId="5C1B0636" w:rsidR="00EE11BD" w:rsidRDefault="00F70457">
      <w:pPr>
        <w:rPr>
          <w:rFonts w:ascii="Aptos" w:hAnsi="Aptos" w:cs="Arial"/>
          <w:b/>
          <w:color w:val="000000"/>
          <w:sz w:val="20"/>
          <w:szCs w:val="20"/>
          <w:lang w:val="en-IE"/>
        </w:rPr>
      </w:pPr>
      <w:r>
        <w:rPr>
          <w:rFonts w:ascii="Aptos" w:hAnsi="Aptos" w:cs="Arial"/>
          <w:b/>
          <w:color w:val="000000"/>
          <w:sz w:val="20"/>
          <w:szCs w:val="20"/>
          <w:lang w:val="en-IE"/>
        </w:rPr>
        <w:t>Part 1a: Details of taxonomy proposals</w:t>
      </w:r>
    </w:p>
    <w:p w14:paraId="51D8A706" w14:textId="77777777" w:rsidR="00EE11BD" w:rsidRDefault="00EE11BD">
      <w:pPr>
        <w:rPr>
          <w:rFonts w:ascii="Aptos" w:hAnsi="Aptos" w:cs="Arial"/>
          <w:sz w:val="20"/>
          <w:szCs w:val="20"/>
          <w:lang w:val="en-IE"/>
        </w:rPr>
      </w:pPr>
    </w:p>
    <w:tbl>
      <w:tblPr>
        <w:tblW w:w="9224" w:type="dxa"/>
        <w:tblInd w:w="-15" w:type="dxa"/>
        <w:tblLayout w:type="fixed"/>
        <w:tblLook w:val="04A0" w:firstRow="1" w:lastRow="0" w:firstColumn="1" w:lastColumn="0" w:noHBand="0" w:noVBand="1"/>
      </w:tblPr>
      <w:tblGrid>
        <w:gridCol w:w="1811"/>
        <w:gridCol w:w="7177"/>
        <w:gridCol w:w="236"/>
      </w:tblGrid>
      <w:tr w:rsidR="00EE11BD" w14:paraId="05AC42D9" w14:textId="77777777">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F8C79DA" w14:textId="77777777" w:rsidR="00EE11BD" w:rsidRDefault="00F70457">
            <w:pPr>
              <w:widowControl w:val="0"/>
              <w:rPr>
                <w:rFonts w:ascii="Aptos" w:hAnsi="Aptos" w:cs="Arial"/>
                <w:sz w:val="20"/>
                <w:lang w:val="en-IE"/>
              </w:rPr>
            </w:pPr>
            <w:r>
              <w:rPr>
                <w:rFonts w:ascii="Aptos" w:hAnsi="Aptos" w:cs="Arial"/>
                <w:b/>
                <w:bCs/>
                <w:color w:val="000000"/>
                <w:sz w:val="20"/>
                <w:szCs w:val="20"/>
                <w:lang w:val="en-IE"/>
              </w:rPr>
              <w:t>T</w:t>
            </w:r>
            <w:r>
              <w:rPr>
                <w:rFonts w:ascii="Aptos" w:hAnsi="Aptos" w:cs="Arial"/>
                <w:b/>
                <w:color w:val="000000"/>
                <w:sz w:val="20"/>
                <w:szCs w:val="20"/>
                <w:lang w:val="en-IE"/>
              </w:rPr>
              <w:t xml:space="preserve">itle:   </w:t>
            </w:r>
          </w:p>
        </w:tc>
        <w:tc>
          <w:tcPr>
            <w:tcW w:w="7360" w:type="dxa"/>
            <w:tcBorders>
              <w:top w:val="single" w:sz="4" w:space="0" w:color="000000"/>
              <w:left w:val="single" w:sz="4" w:space="0" w:color="000000"/>
              <w:bottom w:val="single" w:sz="4" w:space="0" w:color="000000"/>
              <w:right w:val="single" w:sz="4" w:space="0" w:color="000000"/>
            </w:tcBorders>
            <w:vAlign w:val="center"/>
          </w:tcPr>
          <w:p w14:paraId="4B2B96E2" w14:textId="38B3EB25" w:rsidR="00EE11BD" w:rsidRDefault="00F70457">
            <w:pPr>
              <w:widowControl w:val="0"/>
              <w:rPr>
                <w:rFonts w:ascii="Aptos" w:hAnsi="Aptos" w:cs="Arial"/>
                <w:color w:val="000000" w:themeColor="text1"/>
                <w:sz w:val="20"/>
                <w:lang w:val="en-IE"/>
              </w:rPr>
            </w:pPr>
            <w:r>
              <w:rPr>
                <w:rFonts w:ascii="Aptos" w:hAnsi="Aptos" w:cs="Arial"/>
                <w:color w:val="000000" w:themeColor="text1"/>
                <w:sz w:val="20"/>
                <w:lang w:val="en-IE"/>
              </w:rPr>
              <w:t xml:space="preserve">Reclassifying the order </w:t>
            </w:r>
            <w:proofErr w:type="spellStart"/>
            <w:r>
              <w:rPr>
                <w:rFonts w:ascii="Aptos" w:hAnsi="Aptos" w:cs="Arial"/>
                <w:i/>
                <w:iCs/>
                <w:color w:val="000000" w:themeColor="text1"/>
                <w:sz w:val="20"/>
                <w:lang w:val="en-IE"/>
              </w:rPr>
              <w:t>Crassvirales</w:t>
            </w:r>
            <w:proofErr w:type="spellEnd"/>
            <w:r>
              <w:rPr>
                <w:rFonts w:ascii="Aptos" w:hAnsi="Aptos" w:cs="Arial"/>
                <w:color w:val="000000" w:themeColor="text1"/>
                <w:sz w:val="20"/>
                <w:lang w:val="en-IE"/>
              </w:rPr>
              <w:t xml:space="preserve"> to establish two orders</w:t>
            </w:r>
            <w:r w:rsidR="00731C46">
              <w:rPr>
                <w:rFonts w:ascii="Aptos" w:hAnsi="Aptos" w:cs="Arial"/>
                <w:color w:val="000000" w:themeColor="text1"/>
                <w:sz w:val="20"/>
                <w:lang w:val="en-IE"/>
              </w:rPr>
              <w:t>,</w:t>
            </w:r>
            <w:r>
              <w:rPr>
                <w:rFonts w:ascii="Aptos" w:hAnsi="Aptos" w:cs="Arial"/>
                <w:color w:val="000000" w:themeColor="text1"/>
                <w:sz w:val="20"/>
                <w:lang w:val="en-IE"/>
              </w:rPr>
              <w:t xml:space="preserve"> </w:t>
            </w:r>
            <w:r w:rsidR="00731C46">
              <w:rPr>
                <w:rFonts w:ascii="Aptos" w:hAnsi="Aptos" w:cs="Arial"/>
                <w:color w:val="000000" w:themeColor="text1"/>
                <w:sz w:val="20"/>
                <w:lang w:val="en-IE"/>
              </w:rPr>
              <w:t>three</w:t>
            </w:r>
            <w:r>
              <w:rPr>
                <w:rFonts w:ascii="Aptos" w:hAnsi="Aptos" w:cs="Arial"/>
                <w:color w:val="000000" w:themeColor="text1"/>
                <w:sz w:val="20"/>
                <w:lang w:val="en-IE"/>
              </w:rPr>
              <w:t xml:space="preserve"> new families, 3</w:t>
            </w:r>
            <w:r w:rsidR="00731C46">
              <w:rPr>
                <w:rFonts w:ascii="Aptos" w:hAnsi="Aptos" w:cs="Arial"/>
                <w:color w:val="000000" w:themeColor="text1"/>
                <w:sz w:val="20"/>
                <w:lang w:val="en-IE"/>
              </w:rPr>
              <w:t>2</w:t>
            </w:r>
            <w:r>
              <w:rPr>
                <w:rFonts w:ascii="Aptos" w:hAnsi="Aptos" w:cs="Arial"/>
                <w:color w:val="000000" w:themeColor="text1"/>
                <w:sz w:val="20"/>
                <w:lang w:val="en-IE"/>
              </w:rPr>
              <w:t xml:space="preserve"> new genera, and </w:t>
            </w:r>
            <w:r w:rsidR="00731C46">
              <w:rPr>
                <w:rFonts w:ascii="Aptos" w:hAnsi="Aptos" w:cs="Arial"/>
                <w:color w:val="000000" w:themeColor="text1"/>
                <w:sz w:val="20"/>
                <w:lang w:val="en-IE"/>
              </w:rPr>
              <w:t>69</w:t>
            </w:r>
            <w:r>
              <w:rPr>
                <w:rFonts w:ascii="Aptos" w:hAnsi="Aptos" w:cs="Arial"/>
                <w:color w:val="000000" w:themeColor="text1"/>
                <w:sz w:val="20"/>
                <w:lang w:val="en-IE"/>
              </w:rPr>
              <w:t xml:space="preserve"> new species</w:t>
            </w:r>
          </w:p>
        </w:tc>
        <w:tc>
          <w:tcPr>
            <w:tcW w:w="11" w:type="dxa"/>
          </w:tcPr>
          <w:p w14:paraId="62482B26" w14:textId="77777777" w:rsidR="00EE11BD" w:rsidRDefault="00EE11BD">
            <w:pPr>
              <w:widowControl w:val="0"/>
            </w:pPr>
          </w:p>
        </w:tc>
      </w:tr>
      <w:tr w:rsidR="00EE11BD" w14:paraId="7F232A50" w14:textId="77777777">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8D43D7" w14:textId="77777777" w:rsidR="00EE11BD" w:rsidRDefault="00F70457">
            <w:pPr>
              <w:pStyle w:val="BodyTextIndent"/>
              <w:widowControl w:val="0"/>
              <w:ind w:left="0" w:firstLine="0"/>
              <w:rPr>
                <w:rFonts w:ascii="Aptos" w:hAnsi="Aptos" w:cs="Arial"/>
                <w:b/>
                <w:i/>
                <w:sz w:val="20"/>
                <w:lang w:val="en-IE"/>
              </w:rPr>
            </w:pPr>
            <w:r>
              <w:rPr>
                <w:rFonts w:ascii="Aptos" w:hAnsi="Aptos" w:cs="Arial"/>
                <w:b/>
                <w:sz w:val="20"/>
                <w:lang w:val="en-IE"/>
              </w:rPr>
              <w:t xml:space="preserve">Code assigned: </w:t>
            </w:r>
          </w:p>
        </w:tc>
        <w:tc>
          <w:tcPr>
            <w:tcW w:w="7371" w:type="dxa"/>
            <w:gridSpan w:val="2"/>
            <w:tcBorders>
              <w:top w:val="single" w:sz="4" w:space="0" w:color="000000"/>
              <w:left w:val="single" w:sz="4" w:space="0" w:color="000000"/>
              <w:bottom w:val="single" w:sz="4" w:space="0" w:color="000000"/>
              <w:right w:val="single" w:sz="4" w:space="0" w:color="000000"/>
            </w:tcBorders>
          </w:tcPr>
          <w:p w14:paraId="1270741D" w14:textId="5EB232B2" w:rsidR="00EE11BD" w:rsidRDefault="00F70457">
            <w:pPr>
              <w:widowControl w:val="0"/>
              <w:rPr>
                <w:rFonts w:ascii="Aptos Narrow" w:hAnsi="Aptos Narrow"/>
                <w:color w:val="000000"/>
                <w:sz w:val="22"/>
                <w:szCs w:val="22"/>
                <w:lang w:val="en-IE"/>
              </w:rPr>
            </w:pPr>
            <w:r>
              <w:rPr>
                <w:rFonts w:ascii="Aptos Narrow" w:hAnsi="Aptos Narrow"/>
                <w:color w:val="000000"/>
                <w:sz w:val="22"/>
                <w:szCs w:val="22"/>
                <w:lang w:val="en-IE"/>
              </w:rPr>
              <w:t>2025.013B.</w:t>
            </w:r>
            <w:r w:rsidR="00FC64C5">
              <w:rPr>
                <w:rFonts w:ascii="Aptos Narrow" w:hAnsi="Aptos Narrow"/>
                <w:color w:val="000000"/>
                <w:sz w:val="22"/>
                <w:szCs w:val="22"/>
                <w:lang w:val="en-IE"/>
              </w:rPr>
              <w:t>Uc.v4.</w:t>
            </w:r>
            <w:r>
              <w:rPr>
                <w:rFonts w:ascii="Aptos Narrow" w:hAnsi="Aptos Narrow"/>
                <w:color w:val="000000"/>
                <w:sz w:val="22"/>
                <w:szCs w:val="22"/>
                <w:lang w:val="en-IE"/>
              </w:rPr>
              <w:t>Crassvirales_reorganisation</w:t>
            </w:r>
          </w:p>
        </w:tc>
      </w:tr>
    </w:tbl>
    <w:p w14:paraId="031B3E98" w14:textId="77777777" w:rsidR="00EE11BD" w:rsidRDefault="00EE11BD">
      <w:pPr>
        <w:rPr>
          <w:rFonts w:ascii="Aptos" w:hAnsi="Aptos" w:cs="Arial"/>
          <w:b/>
          <w:color w:val="C00000"/>
          <w:sz w:val="20"/>
          <w:szCs w:val="20"/>
          <w:lang w:val="en-IE"/>
        </w:rPr>
      </w:pPr>
    </w:p>
    <w:tbl>
      <w:tblPr>
        <w:tblStyle w:val="TableGrid"/>
        <w:tblW w:w="9323" w:type="dxa"/>
        <w:tblLayout w:type="fixed"/>
        <w:tblLook w:val="04A0" w:firstRow="1" w:lastRow="0" w:firstColumn="1" w:lastColumn="0" w:noHBand="0" w:noVBand="1"/>
      </w:tblPr>
      <w:tblGrid>
        <w:gridCol w:w="1837"/>
        <w:gridCol w:w="1418"/>
        <w:gridCol w:w="2835"/>
        <w:gridCol w:w="2127"/>
        <w:gridCol w:w="1106"/>
      </w:tblGrid>
      <w:tr w:rsidR="00EE11BD" w14:paraId="0B3673FF" w14:textId="77777777">
        <w:trPr>
          <w:trHeight w:val="173"/>
        </w:trPr>
        <w:tc>
          <w:tcPr>
            <w:tcW w:w="9323" w:type="dxa"/>
            <w:gridSpan w:val="5"/>
            <w:shd w:val="clear" w:color="auto" w:fill="F2F2F2" w:themeFill="background1" w:themeFillShade="F2"/>
          </w:tcPr>
          <w:p w14:paraId="473D06B0" w14:textId="77777777" w:rsidR="00EE11BD" w:rsidRDefault="00F70457">
            <w:pPr>
              <w:rPr>
                <w:rFonts w:ascii="Aptos" w:hAnsi="Aptos" w:cs="Arial"/>
                <w:b/>
                <w:sz w:val="20"/>
                <w:szCs w:val="20"/>
                <w:lang w:val="en-IE"/>
              </w:rPr>
            </w:pPr>
            <w:r>
              <w:rPr>
                <w:rFonts w:ascii="Aptos" w:hAnsi="Aptos" w:cs="Arial"/>
                <w:b/>
                <w:sz w:val="20"/>
                <w:szCs w:val="20"/>
                <w:lang w:val="en-IE"/>
              </w:rPr>
              <w:t xml:space="preserve">Author(s), affiliation and email address(es):  </w:t>
            </w:r>
          </w:p>
        </w:tc>
      </w:tr>
      <w:tr w:rsidR="00EE11BD" w14:paraId="36CAA39D" w14:textId="77777777">
        <w:trPr>
          <w:trHeight w:val="411"/>
        </w:trPr>
        <w:tc>
          <w:tcPr>
            <w:tcW w:w="1837" w:type="dxa"/>
            <w:shd w:val="clear" w:color="auto" w:fill="F2F2F2" w:themeFill="background1" w:themeFillShade="F2"/>
            <w:vAlign w:val="center"/>
          </w:tcPr>
          <w:p w14:paraId="430CB0E3" w14:textId="77777777" w:rsidR="00EE11BD" w:rsidRDefault="00F70457">
            <w:pPr>
              <w:rPr>
                <w:rFonts w:ascii="Aptos" w:hAnsi="Aptos" w:cs="Arial"/>
                <w:sz w:val="18"/>
                <w:szCs w:val="18"/>
                <w:lang w:val="en-IE"/>
              </w:rPr>
            </w:pPr>
            <w:r>
              <w:rPr>
                <w:rFonts w:ascii="Aptos" w:hAnsi="Aptos" w:cs="Arial"/>
                <w:b/>
                <w:sz w:val="20"/>
                <w:szCs w:val="20"/>
                <w:lang w:val="en-IE"/>
              </w:rPr>
              <w:t>Given name (+middle initial(s))</w:t>
            </w:r>
          </w:p>
        </w:tc>
        <w:tc>
          <w:tcPr>
            <w:tcW w:w="1418" w:type="dxa"/>
            <w:shd w:val="clear" w:color="auto" w:fill="F2F2F2" w:themeFill="background1" w:themeFillShade="F2"/>
            <w:vAlign w:val="center"/>
          </w:tcPr>
          <w:p w14:paraId="58EAD798" w14:textId="77777777" w:rsidR="00EE11BD" w:rsidRDefault="00F70457">
            <w:pPr>
              <w:rPr>
                <w:rFonts w:ascii="Aptos" w:hAnsi="Aptos" w:cs="Arial"/>
                <w:b/>
                <w:sz w:val="20"/>
                <w:szCs w:val="20"/>
                <w:lang w:val="en-IE"/>
              </w:rPr>
            </w:pPr>
            <w:r>
              <w:rPr>
                <w:rFonts w:ascii="Aptos" w:hAnsi="Aptos" w:cs="Arial"/>
                <w:b/>
                <w:sz w:val="20"/>
                <w:szCs w:val="20"/>
                <w:lang w:val="en-IE"/>
              </w:rPr>
              <w:t>Surname</w:t>
            </w:r>
          </w:p>
        </w:tc>
        <w:tc>
          <w:tcPr>
            <w:tcW w:w="2835" w:type="dxa"/>
            <w:shd w:val="clear" w:color="auto" w:fill="F2F2F2" w:themeFill="background1" w:themeFillShade="F2"/>
            <w:vAlign w:val="center"/>
          </w:tcPr>
          <w:p w14:paraId="445DC7F9" w14:textId="77777777" w:rsidR="00EE11BD" w:rsidRDefault="00F70457">
            <w:pPr>
              <w:rPr>
                <w:rFonts w:ascii="Aptos" w:hAnsi="Aptos" w:cs="Arial"/>
                <w:b/>
                <w:sz w:val="20"/>
                <w:szCs w:val="20"/>
                <w:lang w:val="en-IE"/>
              </w:rPr>
            </w:pPr>
            <w:r>
              <w:rPr>
                <w:rFonts w:ascii="Aptos" w:hAnsi="Aptos" w:cs="Arial"/>
                <w:b/>
                <w:sz w:val="20"/>
                <w:szCs w:val="20"/>
                <w:lang w:val="en-IE"/>
              </w:rPr>
              <w:t xml:space="preserve">Affiliation </w:t>
            </w:r>
          </w:p>
        </w:tc>
        <w:tc>
          <w:tcPr>
            <w:tcW w:w="2127" w:type="dxa"/>
            <w:shd w:val="clear" w:color="auto" w:fill="F2F2F2" w:themeFill="background1" w:themeFillShade="F2"/>
            <w:vAlign w:val="center"/>
          </w:tcPr>
          <w:p w14:paraId="5CCD688F" w14:textId="77777777" w:rsidR="00EE11BD" w:rsidRDefault="00F70457">
            <w:pPr>
              <w:rPr>
                <w:rFonts w:ascii="Aptos" w:hAnsi="Aptos" w:cs="Arial"/>
                <w:b/>
                <w:sz w:val="20"/>
                <w:szCs w:val="20"/>
                <w:lang w:val="en-IE"/>
              </w:rPr>
            </w:pPr>
            <w:r>
              <w:rPr>
                <w:rFonts w:ascii="Aptos" w:hAnsi="Aptos" w:cs="Arial"/>
                <w:b/>
                <w:sz w:val="20"/>
                <w:szCs w:val="20"/>
                <w:lang w:val="en-IE"/>
              </w:rPr>
              <w:t xml:space="preserve">Email address </w:t>
            </w:r>
          </w:p>
        </w:tc>
        <w:tc>
          <w:tcPr>
            <w:tcW w:w="1106" w:type="dxa"/>
            <w:shd w:val="clear" w:color="auto" w:fill="F2F2F2" w:themeFill="background1" w:themeFillShade="F2"/>
            <w:vAlign w:val="center"/>
          </w:tcPr>
          <w:p w14:paraId="4F310C44" w14:textId="77777777" w:rsidR="00EE11BD" w:rsidRDefault="00F70457">
            <w:pPr>
              <w:rPr>
                <w:rFonts w:ascii="Aptos" w:hAnsi="Aptos" w:cs="Arial"/>
                <w:b/>
                <w:sz w:val="20"/>
                <w:szCs w:val="20"/>
                <w:lang w:val="en-IE"/>
              </w:rPr>
            </w:pPr>
            <w:r>
              <w:rPr>
                <w:rFonts w:ascii="Aptos" w:hAnsi="Aptos" w:cs="Arial"/>
                <w:b/>
                <w:sz w:val="20"/>
                <w:szCs w:val="20"/>
                <w:lang w:val="en-IE"/>
              </w:rPr>
              <w:t xml:space="preserve">Corr. author(s)  </w:t>
            </w:r>
          </w:p>
          <w:p w14:paraId="27B07023" w14:textId="77777777" w:rsidR="00EE11BD" w:rsidRDefault="00EE11BD">
            <w:pPr>
              <w:rPr>
                <w:rFonts w:ascii="Aptos" w:hAnsi="Aptos" w:cs="Arial"/>
                <w:color w:val="0070C0"/>
                <w:sz w:val="20"/>
                <w:szCs w:val="20"/>
                <w:lang w:val="en-IE"/>
              </w:rPr>
            </w:pPr>
          </w:p>
        </w:tc>
      </w:tr>
      <w:tr w:rsidR="00EE11BD" w14:paraId="1B69B1B6" w14:textId="77777777">
        <w:tc>
          <w:tcPr>
            <w:tcW w:w="1837" w:type="dxa"/>
            <w:shd w:val="clear" w:color="auto" w:fill="FFFFFF" w:themeFill="background1"/>
            <w:vAlign w:val="center"/>
          </w:tcPr>
          <w:p w14:paraId="16F3A105"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Fabian TS</w:t>
            </w:r>
          </w:p>
        </w:tc>
        <w:tc>
          <w:tcPr>
            <w:tcW w:w="1418" w:type="dxa"/>
            <w:shd w:val="clear" w:color="auto" w:fill="FFFFFF" w:themeFill="background1"/>
            <w:vAlign w:val="center"/>
          </w:tcPr>
          <w:p w14:paraId="1B74EE46" w14:textId="77777777" w:rsidR="00EE11BD" w:rsidRDefault="00F70457">
            <w:pPr>
              <w:rPr>
                <w:rFonts w:ascii="Aptos" w:hAnsi="Aptos" w:cs="Arial"/>
                <w:bCs/>
                <w:color w:val="000000" w:themeColor="text1"/>
                <w:sz w:val="20"/>
                <w:szCs w:val="20"/>
                <w:lang w:val="en-IE"/>
              </w:rPr>
            </w:pPr>
            <w:proofErr w:type="spellStart"/>
            <w:r>
              <w:rPr>
                <w:rFonts w:ascii="Aptos" w:hAnsi="Aptos" w:cs="Arial"/>
                <w:bCs/>
                <w:color w:val="000000" w:themeColor="text1"/>
                <w:sz w:val="20"/>
                <w:szCs w:val="20"/>
                <w:lang w:val="en-IE"/>
              </w:rPr>
              <w:t>Bastiaanssen</w:t>
            </w:r>
            <w:proofErr w:type="spellEnd"/>
          </w:p>
        </w:tc>
        <w:tc>
          <w:tcPr>
            <w:tcW w:w="2835" w:type="dxa"/>
            <w:shd w:val="clear" w:color="auto" w:fill="FFFFFF" w:themeFill="background1"/>
            <w:vAlign w:val="center"/>
          </w:tcPr>
          <w:p w14:paraId="6FE5A268"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University College Cork, Ireland</w:t>
            </w:r>
          </w:p>
        </w:tc>
        <w:tc>
          <w:tcPr>
            <w:tcW w:w="2127" w:type="dxa"/>
            <w:shd w:val="clear" w:color="auto" w:fill="FFFFFF" w:themeFill="background1"/>
            <w:vAlign w:val="center"/>
          </w:tcPr>
          <w:p w14:paraId="57946BB6"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fbastiaanssen@ucc.ie</w:t>
            </w:r>
          </w:p>
        </w:tc>
        <w:tc>
          <w:tcPr>
            <w:tcW w:w="1106" w:type="dxa"/>
            <w:shd w:val="clear" w:color="auto" w:fill="FFFFFF" w:themeFill="background1"/>
            <w:vAlign w:val="center"/>
          </w:tcPr>
          <w:p w14:paraId="73F50FBD" w14:textId="77777777" w:rsidR="00EE11BD" w:rsidRDefault="00EE11BD">
            <w:pPr>
              <w:jc w:val="center"/>
              <w:rPr>
                <w:rFonts w:ascii="Aptos" w:hAnsi="Aptos" w:cs="Arial"/>
                <w:bCs/>
                <w:color w:val="000000" w:themeColor="text1"/>
                <w:sz w:val="20"/>
                <w:szCs w:val="20"/>
                <w:lang w:val="en-IE"/>
              </w:rPr>
            </w:pPr>
          </w:p>
        </w:tc>
      </w:tr>
      <w:tr w:rsidR="00EE11BD" w14:paraId="6DBA8717" w14:textId="77777777">
        <w:tc>
          <w:tcPr>
            <w:tcW w:w="1837" w:type="dxa"/>
            <w:vAlign w:val="center"/>
          </w:tcPr>
          <w:p w14:paraId="40D343E5"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Rémi</w:t>
            </w:r>
          </w:p>
        </w:tc>
        <w:tc>
          <w:tcPr>
            <w:tcW w:w="1418" w:type="dxa"/>
            <w:vAlign w:val="center"/>
          </w:tcPr>
          <w:p w14:paraId="03E08B8D"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Denise</w:t>
            </w:r>
          </w:p>
        </w:tc>
        <w:tc>
          <w:tcPr>
            <w:tcW w:w="2835" w:type="dxa"/>
            <w:vAlign w:val="center"/>
          </w:tcPr>
          <w:p w14:paraId="58564E27"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University College Cork, Ireland</w:t>
            </w:r>
          </w:p>
        </w:tc>
        <w:tc>
          <w:tcPr>
            <w:tcW w:w="2127" w:type="dxa"/>
            <w:vAlign w:val="center"/>
          </w:tcPr>
          <w:p w14:paraId="02011546"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rdenise@ucc.ie</w:t>
            </w:r>
          </w:p>
        </w:tc>
        <w:tc>
          <w:tcPr>
            <w:tcW w:w="1106" w:type="dxa"/>
            <w:vAlign w:val="center"/>
          </w:tcPr>
          <w:p w14:paraId="7E99CF81" w14:textId="77777777" w:rsidR="00EE11BD" w:rsidRDefault="00EE11BD">
            <w:pPr>
              <w:jc w:val="center"/>
              <w:rPr>
                <w:rFonts w:ascii="Aptos" w:hAnsi="Aptos" w:cs="Arial"/>
                <w:bCs/>
                <w:color w:val="000000" w:themeColor="text1"/>
                <w:sz w:val="20"/>
                <w:szCs w:val="20"/>
                <w:lang w:val="en-IE"/>
              </w:rPr>
            </w:pPr>
          </w:p>
        </w:tc>
      </w:tr>
      <w:tr w:rsidR="00EE11BD" w14:paraId="1008B69B" w14:textId="77777777">
        <w:tc>
          <w:tcPr>
            <w:tcW w:w="1837" w:type="dxa"/>
            <w:vAlign w:val="center"/>
          </w:tcPr>
          <w:p w14:paraId="27DD7E9C"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George S</w:t>
            </w:r>
          </w:p>
        </w:tc>
        <w:tc>
          <w:tcPr>
            <w:tcW w:w="1418" w:type="dxa"/>
            <w:vAlign w:val="center"/>
          </w:tcPr>
          <w:p w14:paraId="774EE6E2"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Bouras</w:t>
            </w:r>
          </w:p>
        </w:tc>
        <w:tc>
          <w:tcPr>
            <w:tcW w:w="2835" w:type="dxa"/>
            <w:vAlign w:val="center"/>
          </w:tcPr>
          <w:p w14:paraId="28FC5F7E"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The University of Adelaide, Australia</w:t>
            </w:r>
          </w:p>
        </w:tc>
        <w:tc>
          <w:tcPr>
            <w:tcW w:w="2127" w:type="dxa"/>
            <w:vAlign w:val="center"/>
          </w:tcPr>
          <w:p w14:paraId="74E8341F"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george.bouras@adelaide.edu.au</w:t>
            </w:r>
          </w:p>
        </w:tc>
        <w:tc>
          <w:tcPr>
            <w:tcW w:w="1106" w:type="dxa"/>
            <w:vAlign w:val="center"/>
          </w:tcPr>
          <w:p w14:paraId="0B2470D1" w14:textId="77777777" w:rsidR="00EE11BD" w:rsidRDefault="00EE11BD">
            <w:pPr>
              <w:jc w:val="center"/>
              <w:rPr>
                <w:rFonts w:ascii="Aptos" w:hAnsi="Aptos" w:cs="Arial"/>
                <w:bCs/>
                <w:color w:val="000000" w:themeColor="text1"/>
                <w:sz w:val="20"/>
                <w:szCs w:val="20"/>
                <w:lang w:val="en-IE"/>
              </w:rPr>
            </w:pPr>
          </w:p>
        </w:tc>
      </w:tr>
      <w:tr w:rsidR="00EE11BD" w14:paraId="53DF7D47" w14:textId="77777777">
        <w:tc>
          <w:tcPr>
            <w:tcW w:w="1837" w:type="dxa"/>
            <w:vAlign w:val="center"/>
          </w:tcPr>
          <w:p w14:paraId="39520005"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Steven R</w:t>
            </w:r>
          </w:p>
        </w:tc>
        <w:tc>
          <w:tcPr>
            <w:tcW w:w="1418" w:type="dxa"/>
            <w:vAlign w:val="center"/>
          </w:tcPr>
          <w:p w14:paraId="19D7A400"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Stockdale</w:t>
            </w:r>
          </w:p>
        </w:tc>
        <w:tc>
          <w:tcPr>
            <w:tcW w:w="2835" w:type="dxa"/>
            <w:vAlign w:val="center"/>
          </w:tcPr>
          <w:p w14:paraId="00BB41DC" w14:textId="77777777" w:rsidR="00EE11BD" w:rsidRDefault="00F70457">
            <w:pPr>
              <w:rPr>
                <w:rFonts w:ascii="Aptos" w:hAnsi="Aptos" w:cs="Arial"/>
                <w:bCs/>
                <w:color w:val="000000" w:themeColor="text1"/>
                <w:sz w:val="20"/>
                <w:szCs w:val="20"/>
                <w:lang w:val="en-IE"/>
              </w:rPr>
            </w:pPr>
            <w:proofErr w:type="spellStart"/>
            <w:r>
              <w:rPr>
                <w:rFonts w:ascii="Aptos" w:hAnsi="Aptos" w:cs="Arial"/>
                <w:bCs/>
                <w:color w:val="000000" w:themeColor="text1"/>
                <w:sz w:val="20"/>
                <w:szCs w:val="20"/>
                <w:lang w:val="en-IE"/>
              </w:rPr>
              <w:t>Novogene</w:t>
            </w:r>
            <w:proofErr w:type="spellEnd"/>
            <w:r>
              <w:rPr>
                <w:rFonts w:ascii="Aptos" w:hAnsi="Aptos" w:cs="Arial"/>
                <w:bCs/>
                <w:color w:val="000000" w:themeColor="text1"/>
                <w:sz w:val="20"/>
                <w:szCs w:val="20"/>
                <w:lang w:val="en-IE"/>
              </w:rPr>
              <w:t>, Ireland</w:t>
            </w:r>
          </w:p>
        </w:tc>
        <w:tc>
          <w:tcPr>
            <w:tcW w:w="2127" w:type="dxa"/>
            <w:vAlign w:val="center"/>
          </w:tcPr>
          <w:p w14:paraId="2ADA4EB1"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stephen.stockdale@novogene-europe.com</w:t>
            </w:r>
          </w:p>
        </w:tc>
        <w:tc>
          <w:tcPr>
            <w:tcW w:w="1106" w:type="dxa"/>
            <w:vAlign w:val="center"/>
          </w:tcPr>
          <w:p w14:paraId="1409B7DE" w14:textId="77777777" w:rsidR="00EE11BD" w:rsidRDefault="00EE11BD">
            <w:pPr>
              <w:jc w:val="center"/>
              <w:rPr>
                <w:rFonts w:ascii="Aptos" w:hAnsi="Aptos" w:cs="Arial"/>
                <w:bCs/>
                <w:color w:val="000000" w:themeColor="text1"/>
                <w:sz w:val="20"/>
                <w:szCs w:val="20"/>
                <w:lang w:val="en-IE"/>
              </w:rPr>
            </w:pPr>
          </w:p>
        </w:tc>
      </w:tr>
      <w:tr w:rsidR="00EE11BD" w14:paraId="5C004F5B" w14:textId="77777777">
        <w:tc>
          <w:tcPr>
            <w:tcW w:w="1837" w:type="dxa"/>
            <w:vAlign w:val="center"/>
          </w:tcPr>
          <w:p w14:paraId="3FD5E2C6"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Robert A</w:t>
            </w:r>
          </w:p>
        </w:tc>
        <w:tc>
          <w:tcPr>
            <w:tcW w:w="1418" w:type="dxa"/>
            <w:vAlign w:val="center"/>
          </w:tcPr>
          <w:p w14:paraId="0B699D26"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Edwards</w:t>
            </w:r>
          </w:p>
        </w:tc>
        <w:tc>
          <w:tcPr>
            <w:tcW w:w="2835" w:type="dxa"/>
            <w:vAlign w:val="center"/>
          </w:tcPr>
          <w:p w14:paraId="6DBE7EC3"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Flinders University, Australia</w:t>
            </w:r>
          </w:p>
        </w:tc>
        <w:tc>
          <w:tcPr>
            <w:tcW w:w="2127" w:type="dxa"/>
            <w:vAlign w:val="center"/>
          </w:tcPr>
          <w:p w14:paraId="4011F560"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raedwards@gmail.com</w:t>
            </w:r>
          </w:p>
        </w:tc>
        <w:tc>
          <w:tcPr>
            <w:tcW w:w="1106" w:type="dxa"/>
            <w:vAlign w:val="center"/>
          </w:tcPr>
          <w:p w14:paraId="0BFF4B81" w14:textId="77777777" w:rsidR="00EE11BD" w:rsidRDefault="00EE11BD">
            <w:pPr>
              <w:jc w:val="center"/>
              <w:rPr>
                <w:rFonts w:ascii="Aptos" w:hAnsi="Aptos" w:cs="Arial"/>
                <w:bCs/>
                <w:color w:val="000000" w:themeColor="text1"/>
                <w:sz w:val="20"/>
                <w:szCs w:val="20"/>
                <w:lang w:val="en-IE"/>
              </w:rPr>
            </w:pPr>
          </w:p>
        </w:tc>
      </w:tr>
      <w:tr w:rsidR="00EE11BD" w14:paraId="37B00045" w14:textId="77777777">
        <w:tc>
          <w:tcPr>
            <w:tcW w:w="1837" w:type="dxa"/>
            <w:vAlign w:val="center"/>
          </w:tcPr>
          <w:p w14:paraId="12F13871"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Colin</w:t>
            </w:r>
          </w:p>
        </w:tc>
        <w:tc>
          <w:tcPr>
            <w:tcW w:w="1418" w:type="dxa"/>
            <w:vAlign w:val="center"/>
          </w:tcPr>
          <w:p w14:paraId="4B0F0D7C"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Hil</w:t>
            </w:r>
          </w:p>
        </w:tc>
        <w:tc>
          <w:tcPr>
            <w:tcW w:w="2835" w:type="dxa"/>
            <w:vAlign w:val="center"/>
          </w:tcPr>
          <w:p w14:paraId="1B851DFF"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University College Cork, Ireland</w:t>
            </w:r>
          </w:p>
        </w:tc>
        <w:tc>
          <w:tcPr>
            <w:tcW w:w="2127" w:type="dxa"/>
            <w:vAlign w:val="center"/>
          </w:tcPr>
          <w:p w14:paraId="5CDC9235"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c.hill@ucc.ie</w:t>
            </w:r>
          </w:p>
        </w:tc>
        <w:tc>
          <w:tcPr>
            <w:tcW w:w="1106" w:type="dxa"/>
            <w:vAlign w:val="center"/>
          </w:tcPr>
          <w:p w14:paraId="14E1DB8A" w14:textId="77777777" w:rsidR="00EE11BD" w:rsidRDefault="00EE11BD">
            <w:pPr>
              <w:jc w:val="center"/>
              <w:rPr>
                <w:rFonts w:ascii="Aptos" w:hAnsi="Aptos" w:cs="Arial"/>
                <w:bCs/>
                <w:color w:val="000000" w:themeColor="text1"/>
                <w:sz w:val="20"/>
                <w:szCs w:val="20"/>
                <w:lang w:val="en-IE"/>
              </w:rPr>
            </w:pPr>
          </w:p>
        </w:tc>
      </w:tr>
      <w:tr w:rsidR="00EE11BD" w14:paraId="6315C82A" w14:textId="77777777">
        <w:trPr>
          <w:trHeight w:val="63"/>
        </w:trPr>
        <w:tc>
          <w:tcPr>
            <w:tcW w:w="1837" w:type="dxa"/>
            <w:vAlign w:val="center"/>
          </w:tcPr>
          <w:p w14:paraId="76072750"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Andrey N</w:t>
            </w:r>
          </w:p>
        </w:tc>
        <w:tc>
          <w:tcPr>
            <w:tcW w:w="1418" w:type="dxa"/>
            <w:vAlign w:val="center"/>
          </w:tcPr>
          <w:p w14:paraId="0B7C1683"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Shkoporov</w:t>
            </w:r>
          </w:p>
        </w:tc>
        <w:tc>
          <w:tcPr>
            <w:tcW w:w="2835" w:type="dxa"/>
            <w:vAlign w:val="center"/>
          </w:tcPr>
          <w:p w14:paraId="3278492D"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University College Cork, Ireland</w:t>
            </w:r>
          </w:p>
        </w:tc>
        <w:tc>
          <w:tcPr>
            <w:tcW w:w="2127" w:type="dxa"/>
            <w:vAlign w:val="center"/>
          </w:tcPr>
          <w:p w14:paraId="4B9C15EB" w14:textId="77777777" w:rsidR="00EE11BD" w:rsidRDefault="00F70457">
            <w:pPr>
              <w:rPr>
                <w:rFonts w:ascii="Aptos" w:hAnsi="Aptos" w:cs="Arial"/>
                <w:bCs/>
                <w:color w:val="000000" w:themeColor="text1"/>
                <w:sz w:val="20"/>
                <w:szCs w:val="20"/>
                <w:lang w:val="en-IE"/>
              </w:rPr>
            </w:pPr>
            <w:r>
              <w:rPr>
                <w:rFonts w:ascii="Aptos" w:hAnsi="Aptos" w:cs="Arial"/>
                <w:bCs/>
                <w:color w:val="000000" w:themeColor="text1"/>
                <w:sz w:val="20"/>
                <w:szCs w:val="20"/>
                <w:lang w:val="en-IE"/>
              </w:rPr>
              <w:t>andrey.shkoporov@ucc.ie</w:t>
            </w:r>
          </w:p>
        </w:tc>
        <w:tc>
          <w:tcPr>
            <w:tcW w:w="1106" w:type="dxa"/>
            <w:vAlign w:val="center"/>
          </w:tcPr>
          <w:p w14:paraId="3E01B8A8" w14:textId="77777777" w:rsidR="00EE11BD" w:rsidRDefault="00F70457">
            <w:pPr>
              <w:jc w:val="center"/>
              <w:rPr>
                <w:rFonts w:ascii="Aptos" w:hAnsi="Aptos" w:cs="Arial"/>
                <w:bCs/>
                <w:color w:val="000000" w:themeColor="text1"/>
                <w:sz w:val="20"/>
                <w:szCs w:val="20"/>
                <w:lang w:val="en-IE"/>
              </w:rPr>
            </w:pPr>
            <w:r>
              <w:rPr>
                <w:rFonts w:ascii="Aptos" w:hAnsi="Aptos" w:cs="Arial"/>
                <w:bCs/>
                <w:color w:val="000000" w:themeColor="text1"/>
                <w:sz w:val="20"/>
                <w:szCs w:val="20"/>
                <w:lang w:val="en-IE"/>
              </w:rPr>
              <w:t>X</w:t>
            </w:r>
          </w:p>
        </w:tc>
      </w:tr>
      <w:tr w:rsidR="00EE11BD" w14:paraId="6E568D38" w14:textId="77777777">
        <w:trPr>
          <w:trHeight w:val="63"/>
        </w:trPr>
        <w:tc>
          <w:tcPr>
            <w:tcW w:w="1837" w:type="dxa"/>
            <w:vAlign w:val="center"/>
          </w:tcPr>
          <w:p w14:paraId="55ACE9DE" w14:textId="77777777" w:rsidR="00EE11BD" w:rsidRDefault="00EE11BD">
            <w:pPr>
              <w:rPr>
                <w:rFonts w:ascii="Aptos" w:hAnsi="Aptos" w:cs="Arial"/>
                <w:bCs/>
                <w:color w:val="000000" w:themeColor="text1"/>
                <w:sz w:val="20"/>
                <w:szCs w:val="20"/>
                <w:lang w:val="en-IE"/>
              </w:rPr>
            </w:pPr>
          </w:p>
        </w:tc>
        <w:tc>
          <w:tcPr>
            <w:tcW w:w="1418" w:type="dxa"/>
            <w:vAlign w:val="center"/>
          </w:tcPr>
          <w:p w14:paraId="6594D817" w14:textId="77777777" w:rsidR="00EE11BD" w:rsidRDefault="00EE11BD">
            <w:pPr>
              <w:rPr>
                <w:rFonts w:ascii="Aptos" w:hAnsi="Aptos" w:cs="Arial"/>
                <w:bCs/>
                <w:color w:val="000000" w:themeColor="text1"/>
                <w:sz w:val="20"/>
                <w:szCs w:val="20"/>
                <w:lang w:val="en-IE"/>
              </w:rPr>
            </w:pPr>
          </w:p>
        </w:tc>
        <w:tc>
          <w:tcPr>
            <w:tcW w:w="2835" w:type="dxa"/>
            <w:vAlign w:val="center"/>
          </w:tcPr>
          <w:p w14:paraId="1A32E085" w14:textId="77777777" w:rsidR="00EE11BD" w:rsidRDefault="00EE11BD">
            <w:pPr>
              <w:rPr>
                <w:rFonts w:ascii="Aptos" w:hAnsi="Aptos" w:cs="Arial"/>
                <w:bCs/>
                <w:color w:val="000000" w:themeColor="text1"/>
                <w:sz w:val="20"/>
                <w:szCs w:val="20"/>
                <w:lang w:val="en-IE"/>
              </w:rPr>
            </w:pPr>
          </w:p>
        </w:tc>
        <w:tc>
          <w:tcPr>
            <w:tcW w:w="2127" w:type="dxa"/>
            <w:vAlign w:val="center"/>
          </w:tcPr>
          <w:p w14:paraId="2CDC12F4" w14:textId="77777777" w:rsidR="00EE11BD" w:rsidRDefault="00EE11BD">
            <w:pPr>
              <w:rPr>
                <w:rFonts w:ascii="Aptos" w:hAnsi="Aptos" w:cs="Arial"/>
                <w:bCs/>
                <w:color w:val="000000" w:themeColor="text1"/>
                <w:sz w:val="20"/>
                <w:szCs w:val="20"/>
                <w:lang w:val="en-IE"/>
              </w:rPr>
            </w:pPr>
          </w:p>
        </w:tc>
        <w:tc>
          <w:tcPr>
            <w:tcW w:w="1106" w:type="dxa"/>
            <w:vAlign w:val="center"/>
          </w:tcPr>
          <w:p w14:paraId="11CFDCCE" w14:textId="77777777" w:rsidR="00EE11BD" w:rsidRDefault="00EE11BD">
            <w:pPr>
              <w:jc w:val="center"/>
              <w:rPr>
                <w:rFonts w:ascii="Aptos" w:hAnsi="Aptos" w:cs="Arial"/>
                <w:bCs/>
                <w:color w:val="000000" w:themeColor="text1"/>
                <w:sz w:val="20"/>
                <w:szCs w:val="20"/>
                <w:lang w:val="en-IE"/>
              </w:rPr>
            </w:pPr>
          </w:p>
        </w:tc>
      </w:tr>
    </w:tbl>
    <w:p w14:paraId="09749B01" w14:textId="77777777" w:rsidR="00EE11BD" w:rsidRDefault="00EE11BD">
      <w:pPr>
        <w:rPr>
          <w:rFonts w:ascii="Aptos" w:hAnsi="Aptos" w:cs="Arial"/>
          <w:b/>
          <w:sz w:val="20"/>
          <w:szCs w:val="20"/>
          <w:lang w:val="en-IE"/>
        </w:rPr>
      </w:pPr>
    </w:p>
    <w:p w14:paraId="596B1A01" w14:textId="77777777" w:rsidR="00EE11BD" w:rsidRDefault="00F70457">
      <w:pPr>
        <w:rPr>
          <w:rFonts w:ascii="Aptos" w:eastAsia="Times" w:hAnsi="Aptos" w:cs="Arial"/>
          <w:b/>
          <w:color w:val="000000"/>
          <w:sz w:val="20"/>
          <w:szCs w:val="20"/>
          <w:lang w:val="en-IE" w:eastAsia="en-GB"/>
        </w:rPr>
      </w:pPr>
      <w:r>
        <w:br w:type="page"/>
      </w:r>
    </w:p>
    <w:p w14:paraId="7CD16B61" w14:textId="77777777" w:rsidR="00EE11BD" w:rsidRDefault="00F70457">
      <w:pPr>
        <w:spacing w:before="120" w:after="120"/>
        <w:rPr>
          <w:rFonts w:ascii="Aptos" w:hAnsi="Aptos" w:cs="Arial"/>
          <w:b/>
          <w:sz w:val="20"/>
          <w:szCs w:val="20"/>
          <w:lang w:val="en-IE"/>
        </w:rPr>
      </w:pPr>
      <w:r>
        <w:rPr>
          <w:rFonts w:ascii="Aptos" w:hAnsi="Aptos" w:cs="Arial"/>
          <w:b/>
          <w:sz w:val="20"/>
          <w:szCs w:val="20"/>
          <w:lang w:val="en-IE"/>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966"/>
        <w:gridCol w:w="284"/>
        <w:gridCol w:w="3920"/>
        <w:gridCol w:w="335"/>
      </w:tblGrid>
      <w:tr w:rsidR="00EE11BD" w14:paraId="7D5BF7B9" w14:textId="77777777">
        <w:tc>
          <w:tcPr>
            <w:tcW w:w="8504" w:type="dxa"/>
            <w:gridSpan w:val="4"/>
            <w:shd w:val="clear" w:color="auto" w:fill="F2F2F2" w:themeFill="background1" w:themeFillShade="F2"/>
          </w:tcPr>
          <w:p w14:paraId="09117256" w14:textId="77777777" w:rsidR="00EE11BD" w:rsidRDefault="00F70457">
            <w:pPr>
              <w:rPr>
                <w:rFonts w:ascii="Aptos" w:eastAsia="Times" w:hAnsi="Aptos" w:cs="Arial"/>
                <w:b/>
                <w:color w:val="000000"/>
                <w:sz w:val="20"/>
                <w:szCs w:val="20"/>
                <w:lang w:val="en-IE" w:eastAsia="en-GB"/>
              </w:rPr>
            </w:pPr>
            <w:r>
              <w:rPr>
                <w:rFonts w:ascii="Aptos" w:eastAsia="Times" w:hAnsi="Aptos" w:cs="Arial"/>
                <w:b/>
                <w:color w:val="000000"/>
                <w:sz w:val="20"/>
                <w:szCs w:val="20"/>
                <w:lang w:val="en-IE" w:eastAsia="en-GB"/>
              </w:rPr>
              <w:t xml:space="preserve">ICTV Subcommittee: </w:t>
            </w:r>
          </w:p>
        </w:tc>
      </w:tr>
      <w:tr w:rsidR="00EE11BD" w14:paraId="47C902FB" w14:textId="77777777">
        <w:tc>
          <w:tcPr>
            <w:tcW w:w="3965" w:type="dxa"/>
          </w:tcPr>
          <w:p w14:paraId="4C3B7409"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Animal DNA Viruses and Retroviruses</w:t>
            </w:r>
          </w:p>
        </w:tc>
        <w:tc>
          <w:tcPr>
            <w:tcW w:w="284" w:type="dxa"/>
          </w:tcPr>
          <w:p w14:paraId="1FDF529D" w14:textId="77777777" w:rsidR="00EE11BD" w:rsidRDefault="00EE11BD">
            <w:pPr>
              <w:rPr>
                <w:rFonts w:ascii="Aptos" w:eastAsia="Times" w:hAnsi="Aptos" w:cs="Arial"/>
                <w:b/>
                <w:color w:val="000000"/>
                <w:sz w:val="20"/>
                <w:szCs w:val="20"/>
                <w:lang w:val="en-IE" w:eastAsia="en-GB"/>
              </w:rPr>
            </w:pPr>
          </w:p>
        </w:tc>
        <w:tc>
          <w:tcPr>
            <w:tcW w:w="3920" w:type="dxa"/>
          </w:tcPr>
          <w:p w14:paraId="5571269A"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Bacterial viruses</w:t>
            </w:r>
          </w:p>
        </w:tc>
        <w:tc>
          <w:tcPr>
            <w:tcW w:w="335" w:type="dxa"/>
          </w:tcPr>
          <w:p w14:paraId="70E2CC6A" w14:textId="77777777" w:rsidR="00EE11BD" w:rsidRDefault="00F70457">
            <w:pPr>
              <w:rPr>
                <w:rFonts w:ascii="Aptos" w:eastAsia="Times" w:hAnsi="Aptos" w:cs="Arial"/>
                <w:b/>
                <w:color w:val="000000"/>
                <w:sz w:val="20"/>
                <w:szCs w:val="20"/>
                <w:lang w:val="en-IE" w:eastAsia="en-GB"/>
              </w:rPr>
            </w:pPr>
            <w:r>
              <w:rPr>
                <w:rFonts w:ascii="Aptos" w:eastAsia="Times" w:hAnsi="Aptos" w:cs="Arial"/>
                <w:b/>
                <w:color w:val="000000"/>
                <w:sz w:val="20"/>
                <w:szCs w:val="20"/>
                <w:lang w:val="en-IE" w:eastAsia="en-GB"/>
              </w:rPr>
              <w:t>X</w:t>
            </w:r>
          </w:p>
        </w:tc>
      </w:tr>
      <w:tr w:rsidR="00EE11BD" w14:paraId="61F6512A" w14:textId="77777777">
        <w:tc>
          <w:tcPr>
            <w:tcW w:w="3965" w:type="dxa"/>
          </w:tcPr>
          <w:p w14:paraId="0584366C"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Animal minus-strand and dsRNA viruses</w:t>
            </w:r>
          </w:p>
        </w:tc>
        <w:tc>
          <w:tcPr>
            <w:tcW w:w="284" w:type="dxa"/>
          </w:tcPr>
          <w:p w14:paraId="3C287B8A" w14:textId="77777777" w:rsidR="00EE11BD" w:rsidRDefault="00EE11BD">
            <w:pPr>
              <w:rPr>
                <w:rFonts w:ascii="Aptos" w:eastAsia="Times" w:hAnsi="Aptos" w:cs="Arial"/>
                <w:b/>
                <w:color w:val="000000"/>
                <w:sz w:val="20"/>
                <w:szCs w:val="20"/>
                <w:lang w:val="en-IE" w:eastAsia="en-GB"/>
              </w:rPr>
            </w:pPr>
          </w:p>
        </w:tc>
        <w:tc>
          <w:tcPr>
            <w:tcW w:w="3920" w:type="dxa"/>
          </w:tcPr>
          <w:p w14:paraId="781840B6"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Fungal and protist viruses</w:t>
            </w:r>
          </w:p>
        </w:tc>
        <w:tc>
          <w:tcPr>
            <w:tcW w:w="335" w:type="dxa"/>
          </w:tcPr>
          <w:p w14:paraId="55776F51" w14:textId="77777777" w:rsidR="00EE11BD" w:rsidRDefault="00EE11BD">
            <w:pPr>
              <w:rPr>
                <w:rFonts w:ascii="Aptos" w:eastAsia="Times" w:hAnsi="Aptos" w:cs="Arial"/>
                <w:b/>
                <w:color w:val="000000"/>
                <w:sz w:val="20"/>
                <w:szCs w:val="20"/>
                <w:lang w:val="en-IE" w:eastAsia="en-GB"/>
              </w:rPr>
            </w:pPr>
          </w:p>
        </w:tc>
      </w:tr>
      <w:tr w:rsidR="00EE11BD" w14:paraId="285956D6" w14:textId="77777777">
        <w:tc>
          <w:tcPr>
            <w:tcW w:w="3965" w:type="dxa"/>
          </w:tcPr>
          <w:p w14:paraId="419490D3"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Animal positive-strand RNA viruses</w:t>
            </w:r>
          </w:p>
        </w:tc>
        <w:tc>
          <w:tcPr>
            <w:tcW w:w="284" w:type="dxa"/>
          </w:tcPr>
          <w:p w14:paraId="7B84BCF3" w14:textId="77777777" w:rsidR="00EE11BD" w:rsidRDefault="00EE11BD">
            <w:pPr>
              <w:rPr>
                <w:rFonts w:ascii="Aptos" w:eastAsia="Times" w:hAnsi="Aptos" w:cs="Arial"/>
                <w:b/>
                <w:color w:val="000000"/>
                <w:sz w:val="20"/>
                <w:szCs w:val="20"/>
                <w:lang w:val="en-IE" w:eastAsia="en-GB"/>
              </w:rPr>
            </w:pPr>
          </w:p>
        </w:tc>
        <w:tc>
          <w:tcPr>
            <w:tcW w:w="3920" w:type="dxa"/>
          </w:tcPr>
          <w:p w14:paraId="2E51AF5D"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Plant viruses</w:t>
            </w:r>
          </w:p>
        </w:tc>
        <w:tc>
          <w:tcPr>
            <w:tcW w:w="335" w:type="dxa"/>
          </w:tcPr>
          <w:p w14:paraId="0EC14AA5" w14:textId="77777777" w:rsidR="00EE11BD" w:rsidRDefault="00EE11BD">
            <w:pPr>
              <w:rPr>
                <w:rFonts w:ascii="Aptos" w:eastAsia="Times" w:hAnsi="Aptos" w:cs="Arial"/>
                <w:b/>
                <w:color w:val="000000"/>
                <w:sz w:val="20"/>
                <w:szCs w:val="20"/>
                <w:lang w:val="en-IE" w:eastAsia="en-GB"/>
              </w:rPr>
            </w:pPr>
          </w:p>
        </w:tc>
      </w:tr>
      <w:tr w:rsidR="00EE11BD" w14:paraId="73A5CEAB" w14:textId="77777777">
        <w:tc>
          <w:tcPr>
            <w:tcW w:w="3965" w:type="dxa"/>
          </w:tcPr>
          <w:p w14:paraId="066520BE"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Archaeal viruses</w:t>
            </w:r>
          </w:p>
        </w:tc>
        <w:tc>
          <w:tcPr>
            <w:tcW w:w="284" w:type="dxa"/>
          </w:tcPr>
          <w:p w14:paraId="70A5DA0F" w14:textId="77777777" w:rsidR="00EE11BD" w:rsidRDefault="00EE11BD">
            <w:pPr>
              <w:rPr>
                <w:rFonts w:ascii="Aptos" w:eastAsia="Times" w:hAnsi="Aptos" w:cs="Arial"/>
                <w:b/>
                <w:color w:val="000000"/>
                <w:sz w:val="20"/>
                <w:szCs w:val="20"/>
                <w:lang w:val="en-IE" w:eastAsia="en-GB"/>
              </w:rPr>
            </w:pPr>
          </w:p>
        </w:tc>
        <w:tc>
          <w:tcPr>
            <w:tcW w:w="3920" w:type="dxa"/>
          </w:tcPr>
          <w:p w14:paraId="25AB64C4"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General -</w:t>
            </w:r>
          </w:p>
        </w:tc>
        <w:tc>
          <w:tcPr>
            <w:tcW w:w="335" w:type="dxa"/>
          </w:tcPr>
          <w:p w14:paraId="3B457BA9" w14:textId="77777777" w:rsidR="00EE11BD" w:rsidRDefault="00EE11BD">
            <w:pPr>
              <w:rPr>
                <w:rFonts w:ascii="Aptos" w:eastAsia="Times" w:hAnsi="Aptos" w:cs="Arial"/>
                <w:b/>
                <w:color w:val="000000"/>
                <w:sz w:val="20"/>
                <w:szCs w:val="20"/>
                <w:lang w:val="en-IE" w:eastAsia="en-GB"/>
              </w:rPr>
            </w:pPr>
          </w:p>
        </w:tc>
      </w:tr>
    </w:tbl>
    <w:p w14:paraId="3AF672E1" w14:textId="77777777" w:rsidR="00EE11BD" w:rsidRDefault="00EE11BD">
      <w:pPr>
        <w:rPr>
          <w:rFonts w:ascii="Aptos" w:eastAsia="Times" w:hAnsi="Aptos" w:cs="Arial"/>
          <w:b/>
          <w:color w:val="000000"/>
          <w:sz w:val="20"/>
          <w:szCs w:val="20"/>
          <w:lang w:val="en-IE" w:eastAsia="en-GB"/>
        </w:rPr>
      </w:pPr>
    </w:p>
    <w:tbl>
      <w:tblPr>
        <w:tblStyle w:val="TableGrid"/>
        <w:tblW w:w="8505" w:type="dxa"/>
        <w:tblInd w:w="-5" w:type="dxa"/>
        <w:tblLayout w:type="fixed"/>
        <w:tblLook w:val="04A0" w:firstRow="1" w:lastRow="0" w:firstColumn="1" w:lastColumn="0" w:noHBand="0" w:noVBand="1"/>
      </w:tblPr>
      <w:tblGrid>
        <w:gridCol w:w="8505"/>
      </w:tblGrid>
      <w:tr w:rsidR="00EE11BD" w14:paraId="2CFB93F2" w14:textId="77777777">
        <w:trPr>
          <w:trHeight w:val="147"/>
        </w:trPr>
        <w:tc>
          <w:tcPr>
            <w:tcW w:w="8505" w:type="dxa"/>
            <w:shd w:val="clear" w:color="auto" w:fill="F2F2F2" w:themeFill="background1" w:themeFillShade="F2"/>
          </w:tcPr>
          <w:p w14:paraId="1BA1E5DA" w14:textId="77777777" w:rsidR="00EE11BD" w:rsidRDefault="00F70457">
            <w:pPr>
              <w:rPr>
                <w:rFonts w:ascii="Aptos" w:hAnsi="Aptos" w:cs="Arial"/>
                <w:sz w:val="20"/>
                <w:szCs w:val="20"/>
                <w:lang w:val="en-IE"/>
              </w:rPr>
            </w:pPr>
            <w:r>
              <w:rPr>
                <w:rFonts w:ascii="Aptos" w:hAnsi="Aptos" w:cs="Arial"/>
                <w:b/>
                <w:sz w:val="20"/>
                <w:szCs w:val="20"/>
                <w:lang w:val="en-IE"/>
              </w:rPr>
              <w:t xml:space="preserve">List the ICTV Study Group(s) that have seen or have been involved in creating this proposal: </w:t>
            </w:r>
            <w:hyperlink r:id="rId9">
              <w:r>
                <w:rPr>
                  <w:rStyle w:val="Hyperlink"/>
                  <w:lang w:val="en-IE"/>
                </w:rPr>
                <w:t>https://ictv.global/sc</w:t>
              </w:r>
            </w:hyperlink>
          </w:p>
        </w:tc>
      </w:tr>
      <w:tr w:rsidR="00EE11BD" w14:paraId="7B6BEAAF" w14:textId="77777777">
        <w:trPr>
          <w:trHeight w:val="527"/>
        </w:trPr>
        <w:tc>
          <w:tcPr>
            <w:tcW w:w="8505" w:type="dxa"/>
          </w:tcPr>
          <w:p w14:paraId="4A6763C9" w14:textId="77777777" w:rsidR="00EE11BD" w:rsidRDefault="00F70457">
            <w:pPr>
              <w:rPr>
                <w:rFonts w:ascii="Aptos" w:hAnsi="Aptos" w:cs="Arial"/>
                <w:sz w:val="20"/>
                <w:szCs w:val="20"/>
                <w:lang w:val="en-IE"/>
              </w:rPr>
            </w:pPr>
            <w:proofErr w:type="spellStart"/>
            <w:r>
              <w:rPr>
                <w:rFonts w:ascii="Arial" w:hAnsi="Arial" w:cs="Arial"/>
                <w:sz w:val="22"/>
                <w:szCs w:val="22"/>
                <w:lang w:val="en-IE"/>
              </w:rPr>
              <w:t>Crassvirales</w:t>
            </w:r>
            <w:proofErr w:type="spellEnd"/>
            <w:r>
              <w:rPr>
                <w:rFonts w:ascii="Arial" w:hAnsi="Arial" w:cs="Arial"/>
                <w:sz w:val="22"/>
                <w:szCs w:val="22"/>
                <w:lang w:val="en-IE"/>
              </w:rPr>
              <w:t xml:space="preserve"> Study Group </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EE11BD" w14:paraId="75D2C239" w14:textId="77777777">
        <w:tc>
          <w:tcPr>
            <w:tcW w:w="8504" w:type="dxa"/>
            <w:gridSpan w:val="4"/>
            <w:shd w:val="clear" w:color="auto" w:fill="F2F2F2" w:themeFill="background1" w:themeFillShade="F2"/>
          </w:tcPr>
          <w:p w14:paraId="76174584" w14:textId="77777777" w:rsidR="00EE11BD" w:rsidRDefault="00F70457">
            <w:pPr>
              <w:rPr>
                <w:rFonts w:ascii="Aptos" w:hAnsi="Aptos" w:cs="Arial"/>
                <w:b/>
                <w:bCs/>
                <w:color w:val="000000"/>
                <w:sz w:val="20"/>
                <w:szCs w:val="20"/>
                <w:lang w:val="en-IE"/>
              </w:rPr>
            </w:pPr>
            <w:r>
              <w:rPr>
                <w:rFonts w:ascii="Aptos" w:hAnsi="Aptos" w:cs="Arial"/>
                <w:b/>
                <w:sz w:val="20"/>
                <w:szCs w:val="20"/>
                <w:lang w:val="en-IE"/>
              </w:rPr>
              <w:t xml:space="preserve">Optional – complete only if formally voted on by an ICTV Study Group: </w:t>
            </w:r>
          </w:p>
        </w:tc>
      </w:tr>
      <w:tr w:rsidR="00EE11BD" w14:paraId="35FC2519" w14:textId="77777777">
        <w:tc>
          <w:tcPr>
            <w:tcW w:w="2410" w:type="dxa"/>
            <w:vMerge w:val="restart"/>
            <w:shd w:val="clear" w:color="auto" w:fill="F2F2F2" w:themeFill="background1" w:themeFillShade="F2"/>
          </w:tcPr>
          <w:p w14:paraId="31720CDA" w14:textId="77777777" w:rsidR="00EE11BD" w:rsidRDefault="00F70457">
            <w:pPr>
              <w:rPr>
                <w:rFonts w:ascii="Aptos" w:hAnsi="Aptos" w:cs="Arial"/>
                <w:b/>
                <w:bCs/>
                <w:color w:val="000000"/>
                <w:sz w:val="20"/>
                <w:szCs w:val="20"/>
                <w:lang w:val="en-IE"/>
              </w:rPr>
            </w:pPr>
            <w:r>
              <w:rPr>
                <w:rFonts w:ascii="Aptos" w:hAnsi="Aptos" w:cs="Arial"/>
                <w:b/>
                <w:bCs/>
                <w:color w:val="000000"/>
                <w:sz w:val="20"/>
                <w:szCs w:val="20"/>
                <w:lang w:val="en-IE"/>
              </w:rPr>
              <w:t>Study Group</w:t>
            </w:r>
          </w:p>
        </w:tc>
        <w:tc>
          <w:tcPr>
            <w:tcW w:w="6094" w:type="dxa"/>
            <w:gridSpan w:val="3"/>
            <w:shd w:val="clear" w:color="auto" w:fill="F2F2F2" w:themeFill="background1" w:themeFillShade="F2"/>
          </w:tcPr>
          <w:p w14:paraId="7F63E2AE" w14:textId="77777777" w:rsidR="00EE11BD" w:rsidRDefault="00F70457">
            <w:pPr>
              <w:jc w:val="center"/>
              <w:rPr>
                <w:rFonts w:ascii="Aptos" w:hAnsi="Aptos" w:cs="Arial"/>
                <w:b/>
                <w:bCs/>
                <w:color w:val="000000"/>
                <w:sz w:val="20"/>
                <w:szCs w:val="20"/>
                <w:lang w:val="en-IE"/>
              </w:rPr>
            </w:pPr>
            <w:r>
              <w:rPr>
                <w:rFonts w:ascii="Aptos" w:hAnsi="Aptos" w:cs="Arial"/>
                <w:b/>
                <w:bCs/>
                <w:color w:val="000000"/>
                <w:sz w:val="20"/>
                <w:szCs w:val="20"/>
                <w:lang w:val="en-IE"/>
              </w:rPr>
              <w:t>Number of members</w:t>
            </w:r>
          </w:p>
        </w:tc>
      </w:tr>
      <w:tr w:rsidR="00EE11BD" w14:paraId="6CE0D585" w14:textId="77777777">
        <w:tc>
          <w:tcPr>
            <w:tcW w:w="2410" w:type="dxa"/>
            <w:vMerge/>
            <w:shd w:val="clear" w:color="auto" w:fill="F2F2F2" w:themeFill="background1" w:themeFillShade="F2"/>
          </w:tcPr>
          <w:p w14:paraId="2527FB89" w14:textId="77777777" w:rsidR="00EE11BD" w:rsidRDefault="00EE11BD">
            <w:pPr>
              <w:rPr>
                <w:rFonts w:ascii="Aptos" w:hAnsi="Aptos" w:cs="Arial"/>
                <w:sz w:val="20"/>
                <w:szCs w:val="20"/>
                <w:lang w:val="en-IE"/>
              </w:rPr>
            </w:pPr>
          </w:p>
        </w:tc>
        <w:tc>
          <w:tcPr>
            <w:tcW w:w="1983" w:type="dxa"/>
            <w:shd w:val="clear" w:color="auto" w:fill="F2F2F2" w:themeFill="background1" w:themeFillShade="F2"/>
          </w:tcPr>
          <w:p w14:paraId="09E98D3E" w14:textId="77777777" w:rsidR="00EE11BD" w:rsidRDefault="00F70457">
            <w:pPr>
              <w:jc w:val="center"/>
              <w:rPr>
                <w:rFonts w:ascii="Aptos" w:hAnsi="Aptos" w:cs="Arial"/>
                <w:b/>
                <w:bCs/>
                <w:sz w:val="20"/>
                <w:szCs w:val="20"/>
                <w:lang w:val="en-IE"/>
              </w:rPr>
            </w:pPr>
            <w:r>
              <w:rPr>
                <w:rFonts w:ascii="Aptos" w:hAnsi="Aptos" w:cs="Arial"/>
                <w:b/>
                <w:bCs/>
                <w:sz w:val="20"/>
                <w:szCs w:val="20"/>
                <w:lang w:val="en-IE"/>
              </w:rPr>
              <w:t>Votes in support</w:t>
            </w:r>
          </w:p>
        </w:tc>
        <w:tc>
          <w:tcPr>
            <w:tcW w:w="1985" w:type="dxa"/>
            <w:shd w:val="clear" w:color="auto" w:fill="F2F2F2" w:themeFill="background1" w:themeFillShade="F2"/>
          </w:tcPr>
          <w:p w14:paraId="5FDC2829" w14:textId="77777777" w:rsidR="00EE11BD" w:rsidRDefault="00F70457">
            <w:pPr>
              <w:jc w:val="center"/>
              <w:rPr>
                <w:rFonts w:ascii="Aptos" w:hAnsi="Aptos" w:cs="Arial"/>
                <w:b/>
                <w:bCs/>
                <w:sz w:val="20"/>
                <w:szCs w:val="20"/>
                <w:lang w:val="en-IE"/>
              </w:rPr>
            </w:pPr>
            <w:r>
              <w:rPr>
                <w:rFonts w:ascii="Aptos" w:hAnsi="Aptos" w:cs="Arial"/>
                <w:b/>
                <w:bCs/>
                <w:sz w:val="20"/>
                <w:szCs w:val="20"/>
                <w:lang w:val="en-IE"/>
              </w:rPr>
              <w:t>Votes against</w:t>
            </w:r>
          </w:p>
        </w:tc>
        <w:tc>
          <w:tcPr>
            <w:tcW w:w="2126" w:type="dxa"/>
            <w:shd w:val="clear" w:color="auto" w:fill="F2F2F2" w:themeFill="background1" w:themeFillShade="F2"/>
          </w:tcPr>
          <w:p w14:paraId="1BFDA648" w14:textId="77777777" w:rsidR="00EE11BD" w:rsidRDefault="00F70457">
            <w:pPr>
              <w:jc w:val="center"/>
              <w:rPr>
                <w:rFonts w:ascii="Aptos" w:hAnsi="Aptos" w:cs="Arial"/>
                <w:b/>
                <w:bCs/>
                <w:sz w:val="20"/>
                <w:szCs w:val="20"/>
                <w:lang w:val="en-IE"/>
              </w:rPr>
            </w:pPr>
            <w:r>
              <w:rPr>
                <w:rFonts w:ascii="Aptos" w:hAnsi="Aptos" w:cs="Arial"/>
                <w:b/>
                <w:bCs/>
                <w:sz w:val="20"/>
                <w:szCs w:val="20"/>
                <w:lang w:val="en-IE"/>
              </w:rPr>
              <w:t>No vote</w:t>
            </w:r>
          </w:p>
        </w:tc>
      </w:tr>
      <w:tr w:rsidR="00EE11BD" w14:paraId="2472920A" w14:textId="77777777">
        <w:tc>
          <w:tcPr>
            <w:tcW w:w="2410" w:type="dxa"/>
          </w:tcPr>
          <w:p w14:paraId="086C4675" w14:textId="77777777" w:rsidR="00EE11BD" w:rsidRDefault="00EE11BD">
            <w:pPr>
              <w:rPr>
                <w:rFonts w:ascii="Aptos" w:hAnsi="Aptos" w:cs="Arial"/>
                <w:sz w:val="20"/>
                <w:szCs w:val="20"/>
                <w:lang w:val="en-IE"/>
              </w:rPr>
            </w:pPr>
          </w:p>
        </w:tc>
        <w:tc>
          <w:tcPr>
            <w:tcW w:w="1983" w:type="dxa"/>
          </w:tcPr>
          <w:p w14:paraId="3CD7A2C9" w14:textId="77777777" w:rsidR="00EE11BD" w:rsidRDefault="00EE11BD">
            <w:pPr>
              <w:rPr>
                <w:rFonts w:ascii="Aptos" w:hAnsi="Aptos" w:cs="Arial"/>
                <w:sz w:val="20"/>
                <w:szCs w:val="20"/>
                <w:lang w:val="en-IE"/>
              </w:rPr>
            </w:pPr>
          </w:p>
        </w:tc>
        <w:tc>
          <w:tcPr>
            <w:tcW w:w="1985" w:type="dxa"/>
          </w:tcPr>
          <w:p w14:paraId="378CE046" w14:textId="77777777" w:rsidR="00EE11BD" w:rsidRDefault="00EE11BD">
            <w:pPr>
              <w:rPr>
                <w:rFonts w:ascii="Aptos" w:hAnsi="Aptos" w:cs="Arial"/>
                <w:sz w:val="20"/>
                <w:szCs w:val="20"/>
                <w:lang w:val="en-IE"/>
              </w:rPr>
            </w:pPr>
          </w:p>
        </w:tc>
        <w:tc>
          <w:tcPr>
            <w:tcW w:w="2126" w:type="dxa"/>
          </w:tcPr>
          <w:p w14:paraId="32849C72" w14:textId="77777777" w:rsidR="00EE11BD" w:rsidRDefault="00EE11BD">
            <w:pPr>
              <w:rPr>
                <w:rFonts w:ascii="Aptos" w:hAnsi="Aptos" w:cs="Arial"/>
                <w:sz w:val="20"/>
                <w:szCs w:val="20"/>
                <w:lang w:val="en-IE"/>
              </w:rPr>
            </w:pPr>
          </w:p>
        </w:tc>
      </w:tr>
      <w:tr w:rsidR="00EE11BD" w14:paraId="038546B2" w14:textId="77777777">
        <w:tc>
          <w:tcPr>
            <w:tcW w:w="2410" w:type="dxa"/>
          </w:tcPr>
          <w:p w14:paraId="5A594E31" w14:textId="77777777" w:rsidR="00EE11BD" w:rsidRDefault="00EE11BD">
            <w:pPr>
              <w:rPr>
                <w:rFonts w:ascii="Aptos" w:hAnsi="Aptos" w:cs="Arial"/>
                <w:sz w:val="20"/>
                <w:szCs w:val="20"/>
                <w:lang w:val="en-IE"/>
              </w:rPr>
            </w:pPr>
          </w:p>
        </w:tc>
        <w:tc>
          <w:tcPr>
            <w:tcW w:w="1983" w:type="dxa"/>
          </w:tcPr>
          <w:p w14:paraId="2F198F5C" w14:textId="77777777" w:rsidR="00EE11BD" w:rsidRDefault="00EE11BD">
            <w:pPr>
              <w:rPr>
                <w:rFonts w:ascii="Aptos" w:hAnsi="Aptos" w:cs="Arial"/>
                <w:sz w:val="20"/>
                <w:szCs w:val="20"/>
                <w:lang w:val="en-IE"/>
              </w:rPr>
            </w:pPr>
          </w:p>
        </w:tc>
        <w:tc>
          <w:tcPr>
            <w:tcW w:w="1985" w:type="dxa"/>
          </w:tcPr>
          <w:p w14:paraId="029D82EF" w14:textId="77777777" w:rsidR="00EE11BD" w:rsidRDefault="00EE11BD">
            <w:pPr>
              <w:rPr>
                <w:rFonts w:ascii="Aptos" w:hAnsi="Aptos" w:cs="Arial"/>
                <w:sz w:val="20"/>
                <w:szCs w:val="20"/>
                <w:lang w:val="en-IE"/>
              </w:rPr>
            </w:pPr>
          </w:p>
        </w:tc>
        <w:tc>
          <w:tcPr>
            <w:tcW w:w="2126" w:type="dxa"/>
          </w:tcPr>
          <w:p w14:paraId="6FB4BB60" w14:textId="77777777" w:rsidR="00EE11BD" w:rsidRDefault="00EE11BD">
            <w:pPr>
              <w:rPr>
                <w:rFonts w:ascii="Aptos" w:hAnsi="Aptos" w:cs="Arial"/>
                <w:sz w:val="20"/>
                <w:szCs w:val="20"/>
                <w:lang w:val="en-IE"/>
              </w:rPr>
            </w:pPr>
          </w:p>
        </w:tc>
      </w:tr>
    </w:tbl>
    <w:p w14:paraId="2AF5C599" w14:textId="77777777" w:rsidR="00EE11BD" w:rsidRDefault="00EE11BD">
      <w:pPr>
        <w:rPr>
          <w:rFonts w:ascii="Aptos" w:hAnsi="Aptos" w:cs="Arial"/>
          <w:b/>
          <w:bCs/>
          <w:sz w:val="20"/>
          <w:szCs w:val="20"/>
          <w:lang w:val="en-IE"/>
        </w:rPr>
      </w:pPr>
    </w:p>
    <w:p w14:paraId="31AA5B7F" w14:textId="77777777" w:rsidR="00EE11BD" w:rsidRDefault="00EE11BD">
      <w:pPr>
        <w:rPr>
          <w:rFonts w:ascii="Aptos" w:hAnsi="Aptos" w:cs="Arial"/>
          <w:b/>
          <w:bCs/>
          <w:sz w:val="20"/>
          <w:szCs w:val="20"/>
          <w:lang w:val="en-IE"/>
        </w:rPr>
      </w:pPr>
    </w:p>
    <w:p w14:paraId="6F84D39A" w14:textId="77777777" w:rsidR="00EE11BD" w:rsidRDefault="00EE11BD">
      <w:pPr>
        <w:rPr>
          <w:rFonts w:ascii="Aptos" w:hAnsi="Aptos" w:cs="Arial"/>
          <w:b/>
          <w:bCs/>
          <w:sz w:val="20"/>
          <w:szCs w:val="20"/>
          <w:lang w:val="en-IE"/>
        </w:rPr>
      </w:pPr>
    </w:p>
    <w:p w14:paraId="55B6AB30" w14:textId="77777777" w:rsidR="00EE11BD" w:rsidRDefault="00EE11BD">
      <w:pPr>
        <w:rPr>
          <w:rFonts w:ascii="Aptos" w:hAnsi="Aptos" w:cs="Arial"/>
          <w:b/>
          <w:bCs/>
          <w:sz w:val="20"/>
          <w:szCs w:val="20"/>
          <w:lang w:val="en-IE"/>
        </w:rPr>
      </w:pPr>
    </w:p>
    <w:p w14:paraId="5BD22E2C" w14:textId="77777777" w:rsidR="00EE11BD" w:rsidRDefault="00EE11BD">
      <w:pPr>
        <w:rPr>
          <w:rFonts w:ascii="Aptos" w:hAnsi="Aptos" w:cs="Arial"/>
          <w:b/>
          <w:bCs/>
          <w:sz w:val="20"/>
          <w:szCs w:val="20"/>
          <w:lang w:val="en-IE"/>
        </w:rPr>
      </w:pPr>
    </w:p>
    <w:p w14:paraId="294230BE" w14:textId="77777777" w:rsidR="00EE11BD" w:rsidRDefault="00EE11BD">
      <w:pPr>
        <w:rPr>
          <w:rFonts w:ascii="Aptos" w:hAnsi="Aptos" w:cs="Arial"/>
          <w:b/>
          <w:bCs/>
          <w:sz w:val="20"/>
          <w:szCs w:val="20"/>
          <w:lang w:val="en-IE"/>
        </w:rPr>
      </w:pPr>
    </w:p>
    <w:p w14:paraId="6B54ABEF" w14:textId="77777777" w:rsidR="00EE11BD" w:rsidRDefault="00EE11BD">
      <w:pPr>
        <w:rPr>
          <w:rFonts w:ascii="Aptos" w:hAnsi="Aptos" w:cs="Arial"/>
          <w:b/>
          <w:bCs/>
          <w:sz w:val="20"/>
          <w:szCs w:val="20"/>
          <w:lang w:val="en-IE"/>
        </w:rPr>
      </w:pPr>
    </w:p>
    <w:p w14:paraId="2A54D188" w14:textId="77777777" w:rsidR="00EE11BD" w:rsidRDefault="00EE11BD">
      <w:pPr>
        <w:rPr>
          <w:rFonts w:ascii="Aptos" w:hAnsi="Aptos" w:cs="Arial"/>
          <w:b/>
          <w:bCs/>
          <w:sz w:val="20"/>
          <w:szCs w:val="20"/>
          <w:lang w:val="en-IE"/>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EE11BD" w14:paraId="70CCE135" w14:textId="77777777">
        <w:trPr>
          <w:trHeight w:val="244"/>
        </w:trPr>
        <w:tc>
          <w:tcPr>
            <w:tcW w:w="2267" w:type="dxa"/>
            <w:shd w:val="clear" w:color="auto" w:fill="F2F2F2" w:themeFill="background1" w:themeFillShade="F2"/>
          </w:tcPr>
          <w:p w14:paraId="12F722DA" w14:textId="77777777" w:rsidR="00EE11BD" w:rsidRDefault="00F70457">
            <w:pPr>
              <w:ind w:left="174"/>
              <w:rPr>
                <w:rFonts w:ascii="Aptos" w:hAnsi="Aptos" w:cs="Arial"/>
                <w:bCs/>
                <w:sz w:val="20"/>
                <w:szCs w:val="20"/>
                <w:lang w:val="en-IE"/>
              </w:rPr>
            </w:pPr>
            <w:r>
              <w:rPr>
                <w:rFonts w:ascii="Aptos" w:hAnsi="Aptos" w:cs="Arial"/>
                <w:b/>
                <w:bCs/>
                <w:sz w:val="20"/>
                <w:szCs w:val="20"/>
                <w:lang w:val="en-IE"/>
              </w:rPr>
              <w:t>Submission date:</w:t>
            </w:r>
          </w:p>
        </w:tc>
        <w:tc>
          <w:tcPr>
            <w:tcW w:w="1701" w:type="dxa"/>
          </w:tcPr>
          <w:p w14:paraId="2E00D3DF" w14:textId="0F37F074" w:rsidR="00EE11BD" w:rsidRDefault="00F70457">
            <w:pPr>
              <w:rPr>
                <w:rFonts w:ascii="Aptos" w:hAnsi="Aptos" w:cs="Arial"/>
                <w:bCs/>
                <w:color w:val="000000" w:themeColor="text1"/>
                <w:sz w:val="20"/>
                <w:szCs w:val="20"/>
                <w:lang w:val="en-IE"/>
              </w:rPr>
            </w:pPr>
            <w:r>
              <w:rPr>
                <w:rFonts w:ascii="Aptos" w:hAnsi="Aptos" w:cs="Arial"/>
                <w:bCs/>
                <w:sz w:val="20"/>
                <w:szCs w:val="20"/>
                <w:lang w:val="en-IE"/>
              </w:rPr>
              <w:t xml:space="preserve">  </w:t>
            </w:r>
            <w:r w:rsidR="00A50213">
              <w:rPr>
                <w:rFonts w:ascii="Aptos" w:hAnsi="Aptos" w:cs="Arial"/>
                <w:bCs/>
                <w:sz w:val="20"/>
                <w:szCs w:val="20"/>
                <w:lang w:val="en-IE"/>
              </w:rPr>
              <w:t>22/06/2025</w:t>
            </w:r>
          </w:p>
        </w:tc>
      </w:tr>
    </w:tbl>
    <w:p w14:paraId="7EE8AE3A" w14:textId="77777777" w:rsidR="00EE11BD" w:rsidRDefault="00EE11BD">
      <w:pPr>
        <w:rPr>
          <w:rFonts w:ascii="Aptos" w:hAnsi="Aptos" w:cs="Arial"/>
          <w:b/>
          <w:sz w:val="20"/>
          <w:szCs w:val="20"/>
          <w:lang w:val="en-IE"/>
        </w:rPr>
      </w:pPr>
    </w:p>
    <w:p w14:paraId="3F70F090" w14:textId="77777777" w:rsidR="00EE11BD" w:rsidRDefault="00EE11BD">
      <w:pPr>
        <w:ind w:right="828"/>
        <w:rPr>
          <w:rFonts w:ascii="Aptos" w:hAnsi="Aptos" w:cs="Arial"/>
          <w:b/>
          <w:sz w:val="20"/>
          <w:szCs w:val="20"/>
          <w:lang w:val="en-IE"/>
        </w:rPr>
      </w:pPr>
    </w:p>
    <w:p w14:paraId="6AC9AA23" w14:textId="77777777" w:rsidR="00EE11BD" w:rsidRDefault="00F70457">
      <w:pPr>
        <w:spacing w:after="120"/>
        <w:ind w:right="828"/>
        <w:rPr>
          <w:rFonts w:ascii="Aptos" w:hAnsi="Aptos" w:cs="Arial"/>
          <w:color w:val="0070C0"/>
          <w:sz w:val="20"/>
          <w:szCs w:val="20"/>
          <w:lang w:val="en-IE"/>
        </w:rPr>
      </w:pPr>
      <w:r>
        <w:rPr>
          <w:rFonts w:ascii="Aptos" w:hAnsi="Aptos" w:cs="Arial"/>
          <w:b/>
          <w:sz w:val="20"/>
          <w:szCs w:val="20"/>
          <w:lang w:val="en-IE"/>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EE11BD" w14:paraId="2D88AA8C" w14:textId="77777777">
        <w:tc>
          <w:tcPr>
            <w:tcW w:w="8079" w:type="dxa"/>
            <w:shd w:val="clear" w:color="auto" w:fill="F2F2F2" w:themeFill="background1" w:themeFillShade="F2"/>
          </w:tcPr>
          <w:p w14:paraId="5590FB26" w14:textId="77777777" w:rsidR="00EE11BD" w:rsidRDefault="00F70457">
            <w:pPr>
              <w:rPr>
                <w:rFonts w:ascii="Aptos" w:eastAsia="Times" w:hAnsi="Aptos" w:cs="Arial"/>
                <w:b/>
                <w:color w:val="000000"/>
                <w:sz w:val="20"/>
                <w:szCs w:val="20"/>
                <w:lang w:val="en-IE" w:eastAsia="en-GB"/>
              </w:rPr>
            </w:pPr>
            <w:r>
              <w:rPr>
                <w:rFonts w:ascii="Aptos" w:hAnsi="Aptos" w:cs="Arial"/>
                <w:b/>
                <w:sz w:val="20"/>
                <w:szCs w:val="20"/>
                <w:lang w:val="en-IE"/>
              </w:rPr>
              <w:t xml:space="preserve">Executive Committee Meeting Decision </w:t>
            </w:r>
            <w:r>
              <w:rPr>
                <w:rFonts w:ascii="Aptos" w:eastAsia="Times" w:hAnsi="Aptos" w:cs="Arial"/>
                <w:b/>
                <w:color w:val="000000"/>
                <w:sz w:val="20"/>
                <w:szCs w:val="20"/>
                <w:lang w:val="en-IE" w:eastAsia="en-GB"/>
              </w:rPr>
              <w:t>code:</w:t>
            </w:r>
          </w:p>
        </w:tc>
        <w:tc>
          <w:tcPr>
            <w:tcW w:w="425" w:type="dxa"/>
          </w:tcPr>
          <w:p w14:paraId="35FFB327" w14:textId="77777777" w:rsidR="00EE11BD" w:rsidRDefault="00F70457">
            <w:pPr>
              <w:rPr>
                <w:rFonts w:ascii="Aptos" w:eastAsia="Times" w:hAnsi="Aptos" w:cs="Arial"/>
                <w:b/>
                <w:color w:val="A6A6A6" w:themeColor="background1" w:themeShade="A6"/>
                <w:sz w:val="20"/>
                <w:szCs w:val="20"/>
                <w:lang w:val="en-IE" w:eastAsia="en-GB"/>
              </w:rPr>
            </w:pPr>
            <w:r>
              <w:rPr>
                <w:rFonts w:ascii="Aptos" w:eastAsia="Times" w:hAnsi="Aptos" w:cs="Arial"/>
                <w:b/>
                <w:color w:val="A6A6A6" w:themeColor="background1" w:themeShade="A6"/>
                <w:sz w:val="20"/>
                <w:szCs w:val="20"/>
                <w:lang w:val="en-IE" w:eastAsia="en-GB"/>
              </w:rPr>
              <w:t>X</w:t>
            </w:r>
          </w:p>
        </w:tc>
      </w:tr>
      <w:tr w:rsidR="00EE11BD" w14:paraId="227FF182" w14:textId="77777777">
        <w:tc>
          <w:tcPr>
            <w:tcW w:w="8079" w:type="dxa"/>
          </w:tcPr>
          <w:p w14:paraId="6F038C5B"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A – Accept</w:t>
            </w:r>
          </w:p>
        </w:tc>
        <w:tc>
          <w:tcPr>
            <w:tcW w:w="425" w:type="dxa"/>
          </w:tcPr>
          <w:p w14:paraId="762C748B" w14:textId="77777777" w:rsidR="00EE11BD" w:rsidRDefault="00EE11BD">
            <w:pPr>
              <w:rPr>
                <w:rFonts w:ascii="Aptos" w:eastAsia="Times" w:hAnsi="Aptos" w:cs="Arial"/>
                <w:b/>
                <w:color w:val="000000"/>
                <w:sz w:val="20"/>
                <w:szCs w:val="20"/>
                <w:lang w:val="en-IE" w:eastAsia="en-GB"/>
              </w:rPr>
            </w:pPr>
          </w:p>
        </w:tc>
      </w:tr>
      <w:tr w:rsidR="00EE11BD" w14:paraId="0E2A4586" w14:textId="77777777">
        <w:tc>
          <w:tcPr>
            <w:tcW w:w="8079" w:type="dxa"/>
          </w:tcPr>
          <w:p w14:paraId="2160C931"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Ac – Accept subject to revision by relevant subcommittee chair. No further vote required</w:t>
            </w:r>
          </w:p>
        </w:tc>
        <w:tc>
          <w:tcPr>
            <w:tcW w:w="425" w:type="dxa"/>
          </w:tcPr>
          <w:p w14:paraId="191322C9" w14:textId="77777777" w:rsidR="00EE11BD" w:rsidRDefault="00EE11BD">
            <w:pPr>
              <w:rPr>
                <w:rFonts w:ascii="Aptos" w:eastAsia="Times" w:hAnsi="Aptos" w:cs="Arial"/>
                <w:b/>
                <w:color w:val="000000"/>
                <w:sz w:val="20"/>
                <w:szCs w:val="20"/>
                <w:lang w:val="en-IE" w:eastAsia="en-GB"/>
              </w:rPr>
            </w:pPr>
          </w:p>
        </w:tc>
      </w:tr>
      <w:tr w:rsidR="00EE11BD" w14:paraId="7E00F5CD" w14:textId="77777777">
        <w:tc>
          <w:tcPr>
            <w:tcW w:w="8079" w:type="dxa"/>
          </w:tcPr>
          <w:p w14:paraId="06B9EA9E"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U – Accept without revision but with re-evaluation and email vote by the EC</w:t>
            </w:r>
          </w:p>
        </w:tc>
        <w:tc>
          <w:tcPr>
            <w:tcW w:w="425" w:type="dxa"/>
          </w:tcPr>
          <w:p w14:paraId="256A6712" w14:textId="77777777" w:rsidR="00EE11BD" w:rsidRDefault="00EE11BD">
            <w:pPr>
              <w:rPr>
                <w:rFonts w:ascii="Aptos" w:eastAsia="Times" w:hAnsi="Aptos" w:cs="Arial"/>
                <w:b/>
                <w:color w:val="000000"/>
                <w:sz w:val="20"/>
                <w:szCs w:val="20"/>
                <w:lang w:val="en-IE" w:eastAsia="en-GB"/>
              </w:rPr>
            </w:pPr>
          </w:p>
        </w:tc>
      </w:tr>
      <w:tr w:rsidR="00EE11BD" w14:paraId="3929241C" w14:textId="77777777">
        <w:tc>
          <w:tcPr>
            <w:tcW w:w="8079" w:type="dxa"/>
          </w:tcPr>
          <w:p w14:paraId="05E2B8A1"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Uc – Accept subject to revision and re-evaluation and email vote by the EC</w:t>
            </w:r>
          </w:p>
        </w:tc>
        <w:tc>
          <w:tcPr>
            <w:tcW w:w="425" w:type="dxa"/>
          </w:tcPr>
          <w:p w14:paraId="65D1B567" w14:textId="77777777" w:rsidR="00EE11BD" w:rsidRDefault="00F70457">
            <w:pPr>
              <w:rPr>
                <w:rFonts w:ascii="Aptos" w:eastAsia="Times" w:hAnsi="Aptos" w:cs="Arial"/>
                <w:b/>
                <w:bCs/>
                <w:color w:val="000000"/>
                <w:sz w:val="20"/>
                <w:szCs w:val="20"/>
                <w:lang w:val="en-IE" w:eastAsia="en-GB"/>
              </w:rPr>
            </w:pPr>
            <w:r>
              <w:rPr>
                <w:rFonts w:ascii="Aptos" w:eastAsia="Times" w:hAnsi="Aptos" w:cs="Arial"/>
                <w:b/>
                <w:bCs/>
                <w:color w:val="000000" w:themeColor="text1"/>
                <w:sz w:val="20"/>
                <w:szCs w:val="20"/>
                <w:lang w:val="en-IE" w:eastAsia="en-GB"/>
              </w:rPr>
              <w:t>x</w:t>
            </w:r>
          </w:p>
        </w:tc>
      </w:tr>
      <w:tr w:rsidR="00EE11BD" w14:paraId="023C14FF" w14:textId="77777777">
        <w:tc>
          <w:tcPr>
            <w:tcW w:w="8079" w:type="dxa"/>
          </w:tcPr>
          <w:p w14:paraId="7A5B0B07"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Ud – Deferred to the next EC meeting, with an invitation to revise based on EC comments</w:t>
            </w:r>
          </w:p>
        </w:tc>
        <w:tc>
          <w:tcPr>
            <w:tcW w:w="425" w:type="dxa"/>
          </w:tcPr>
          <w:p w14:paraId="11C308FA" w14:textId="77777777" w:rsidR="00EE11BD" w:rsidRDefault="00EE11BD">
            <w:pPr>
              <w:rPr>
                <w:rFonts w:ascii="Aptos" w:eastAsia="Times" w:hAnsi="Aptos" w:cs="Arial"/>
                <w:b/>
                <w:color w:val="000000"/>
                <w:sz w:val="20"/>
                <w:szCs w:val="20"/>
                <w:lang w:val="en-IE" w:eastAsia="en-GB"/>
              </w:rPr>
            </w:pPr>
          </w:p>
        </w:tc>
      </w:tr>
      <w:tr w:rsidR="00EE11BD" w14:paraId="6B045563" w14:textId="77777777">
        <w:tc>
          <w:tcPr>
            <w:tcW w:w="8079" w:type="dxa"/>
          </w:tcPr>
          <w:p w14:paraId="55FE3AA0"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J - Reject</w:t>
            </w:r>
          </w:p>
        </w:tc>
        <w:tc>
          <w:tcPr>
            <w:tcW w:w="425" w:type="dxa"/>
          </w:tcPr>
          <w:p w14:paraId="151BEA9D" w14:textId="77777777" w:rsidR="00EE11BD" w:rsidRDefault="00EE11BD">
            <w:pPr>
              <w:rPr>
                <w:rFonts w:ascii="Aptos" w:eastAsia="Times" w:hAnsi="Aptos" w:cs="Arial"/>
                <w:b/>
                <w:color w:val="000000"/>
                <w:sz w:val="20"/>
                <w:szCs w:val="20"/>
                <w:lang w:val="en-IE" w:eastAsia="en-GB"/>
              </w:rPr>
            </w:pPr>
          </w:p>
        </w:tc>
      </w:tr>
      <w:tr w:rsidR="00EE11BD" w14:paraId="077F8539" w14:textId="77777777">
        <w:tc>
          <w:tcPr>
            <w:tcW w:w="8079" w:type="dxa"/>
          </w:tcPr>
          <w:p w14:paraId="204C9454"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W - Withdrawn</w:t>
            </w:r>
          </w:p>
        </w:tc>
        <w:tc>
          <w:tcPr>
            <w:tcW w:w="425" w:type="dxa"/>
          </w:tcPr>
          <w:p w14:paraId="34E31A95" w14:textId="77777777" w:rsidR="00EE11BD" w:rsidRDefault="00EE11BD">
            <w:pPr>
              <w:rPr>
                <w:rFonts w:ascii="Aptos" w:eastAsia="Times" w:hAnsi="Aptos" w:cs="Arial"/>
                <w:b/>
                <w:color w:val="000000"/>
                <w:sz w:val="20"/>
                <w:szCs w:val="20"/>
                <w:lang w:val="en-IE" w:eastAsia="en-GB"/>
              </w:rPr>
            </w:pPr>
          </w:p>
        </w:tc>
      </w:tr>
    </w:tbl>
    <w:p w14:paraId="42268CEF" w14:textId="77777777" w:rsidR="00EE11BD" w:rsidRDefault="00EE11BD">
      <w:pPr>
        <w:rPr>
          <w:rFonts w:ascii="Aptos" w:eastAsia="Times" w:hAnsi="Aptos" w:cs="Arial"/>
          <w:b/>
          <w:color w:val="000000"/>
          <w:sz w:val="20"/>
          <w:szCs w:val="20"/>
          <w:lang w:val="en-IE" w:eastAsia="en-GB"/>
        </w:rPr>
      </w:pPr>
    </w:p>
    <w:tbl>
      <w:tblPr>
        <w:tblStyle w:val="TableGrid"/>
        <w:tblW w:w="8595" w:type="dxa"/>
        <w:tblInd w:w="-95" w:type="dxa"/>
        <w:tblLayout w:type="fixed"/>
        <w:tblLook w:val="04A0" w:firstRow="1" w:lastRow="0" w:firstColumn="1" w:lastColumn="0" w:noHBand="0" w:noVBand="1"/>
      </w:tblPr>
      <w:tblGrid>
        <w:gridCol w:w="8595"/>
      </w:tblGrid>
      <w:tr w:rsidR="00EE11BD" w14:paraId="10A1430F" w14:textId="77777777">
        <w:trPr>
          <w:trHeight w:val="211"/>
        </w:trPr>
        <w:tc>
          <w:tcPr>
            <w:tcW w:w="8595" w:type="dxa"/>
            <w:shd w:val="clear" w:color="auto" w:fill="F2F2F2" w:themeFill="background1" w:themeFillShade="F2"/>
          </w:tcPr>
          <w:p w14:paraId="5BF993A0" w14:textId="77777777" w:rsidR="00EE11BD" w:rsidRDefault="00F70457">
            <w:pPr>
              <w:rPr>
                <w:rFonts w:ascii="Aptos" w:hAnsi="Aptos" w:cs="Arial"/>
                <w:sz w:val="20"/>
                <w:szCs w:val="20"/>
                <w:lang w:val="en-IE"/>
              </w:rPr>
            </w:pPr>
            <w:r>
              <w:rPr>
                <w:rFonts w:ascii="Aptos" w:hAnsi="Aptos" w:cs="Arial"/>
                <w:b/>
                <w:sz w:val="20"/>
                <w:szCs w:val="20"/>
                <w:lang w:val="en-IE"/>
              </w:rPr>
              <w:t>Comments from the Executive Committee:</w:t>
            </w:r>
          </w:p>
        </w:tc>
      </w:tr>
      <w:tr w:rsidR="00EE11BD" w14:paraId="7FF32991" w14:textId="77777777">
        <w:trPr>
          <w:trHeight w:val="794"/>
        </w:trPr>
        <w:tc>
          <w:tcPr>
            <w:tcW w:w="8595" w:type="dxa"/>
          </w:tcPr>
          <w:p w14:paraId="15965970" w14:textId="77777777" w:rsidR="00EE11BD" w:rsidRDefault="00F70457">
            <w:pPr>
              <w:spacing w:after="240" w:line="259" w:lineRule="auto"/>
              <w:rPr>
                <w:rFonts w:ascii="Aptos" w:eastAsia="Aptos" w:hAnsi="Aptos" w:cs="Aptos"/>
                <w:sz w:val="20"/>
                <w:szCs w:val="20"/>
                <w:lang w:val="en-IE"/>
              </w:rPr>
            </w:pPr>
            <w:r>
              <w:rPr>
                <w:rFonts w:ascii="Aptos" w:eastAsia="Aptos" w:hAnsi="Aptos" w:cs="Aptos"/>
                <w:sz w:val="20"/>
                <w:szCs w:val="20"/>
                <w:lang w:val="en-IE"/>
              </w:rPr>
              <w:t xml:space="preserve">Regarding the abolishment of the subfamilies: can the authors provide the evidence in figures for removing the subfamilies? They were previously created with demarcation criteria. Could they stay until better criteria can be found so that they can be replaced in one go? E.g., you mention “We believe the current criteria are too broad, as 27-79% of proteins shared within each subfamily in all possible pairwise comparisons does not appear to identify any meaningful groupings.” If this has been </w:t>
            </w:r>
            <w:proofErr w:type="gramStart"/>
            <w:r>
              <w:rPr>
                <w:rFonts w:ascii="Aptos" w:eastAsia="Aptos" w:hAnsi="Aptos" w:cs="Aptos"/>
                <w:sz w:val="20"/>
                <w:szCs w:val="20"/>
                <w:lang w:val="en-IE"/>
              </w:rPr>
              <w:t>assessed</w:t>
            </w:r>
            <w:proofErr w:type="gramEnd"/>
            <w:r>
              <w:rPr>
                <w:rFonts w:ascii="Aptos" w:eastAsia="Aptos" w:hAnsi="Aptos" w:cs="Aptos"/>
                <w:sz w:val="20"/>
                <w:szCs w:val="20"/>
                <w:lang w:val="en-IE"/>
              </w:rPr>
              <w:t xml:space="preserve"> could you provide the trees to evidence this? </w:t>
            </w:r>
          </w:p>
          <w:p w14:paraId="43F1E000" w14:textId="77777777" w:rsidR="00EE11BD" w:rsidRDefault="00F70457">
            <w:pPr>
              <w:spacing w:after="240" w:line="259" w:lineRule="auto"/>
              <w:rPr>
                <w:rFonts w:ascii="Aptos" w:eastAsia="Aptos" w:hAnsi="Aptos" w:cs="Aptos"/>
                <w:sz w:val="20"/>
                <w:szCs w:val="20"/>
                <w:lang w:val="en-IE"/>
              </w:rPr>
            </w:pPr>
            <w:r>
              <w:rPr>
                <w:rFonts w:ascii="Aptos" w:eastAsia="Aptos" w:hAnsi="Aptos" w:cs="Aptos"/>
                <w:sz w:val="20"/>
                <w:szCs w:val="20"/>
                <w:lang w:val="en-IE"/>
              </w:rPr>
              <w:t>Sequence Records need to be available. As an alternative: you could propose a reorganisation of the group without any of the new species that don’t have available accession numbers. If accessions are not available, they can include the information in the word module to discuss proposed taxonomic changes</w:t>
            </w:r>
          </w:p>
          <w:p w14:paraId="312B3053" w14:textId="77777777" w:rsidR="00EE11BD" w:rsidRDefault="00EE11BD">
            <w:pPr>
              <w:rPr>
                <w:rFonts w:ascii="Aptos" w:hAnsi="Aptos" w:cs="Arial"/>
                <w:sz w:val="20"/>
                <w:szCs w:val="20"/>
                <w:lang w:val="en-IE"/>
              </w:rPr>
            </w:pPr>
          </w:p>
          <w:p w14:paraId="60E9AF33" w14:textId="77777777" w:rsidR="00EE11BD" w:rsidRDefault="00EE11BD">
            <w:pPr>
              <w:rPr>
                <w:rFonts w:ascii="Aptos" w:hAnsi="Aptos" w:cs="Arial"/>
                <w:sz w:val="20"/>
                <w:szCs w:val="20"/>
                <w:lang w:val="en-IE"/>
              </w:rPr>
            </w:pPr>
          </w:p>
        </w:tc>
      </w:tr>
    </w:tbl>
    <w:p w14:paraId="2E8E8B0D" w14:textId="77777777" w:rsidR="00EE11BD" w:rsidRDefault="00EE11BD">
      <w:pPr>
        <w:rPr>
          <w:rFonts w:ascii="Aptos" w:hAnsi="Aptos" w:cs="Arial"/>
          <w:b/>
          <w:sz w:val="20"/>
          <w:szCs w:val="20"/>
          <w:lang w:val="en-IE"/>
        </w:rPr>
      </w:pPr>
    </w:p>
    <w:p w14:paraId="2D793070" w14:textId="77777777" w:rsidR="00EE11BD" w:rsidRDefault="00EE11BD">
      <w:pPr>
        <w:rPr>
          <w:rFonts w:ascii="Aptos" w:hAnsi="Aptos" w:cs="Arial"/>
          <w:b/>
          <w:sz w:val="20"/>
          <w:szCs w:val="20"/>
          <w:lang w:val="en-IE"/>
        </w:rPr>
      </w:pPr>
    </w:p>
    <w:p w14:paraId="1D4413CE" w14:textId="77777777" w:rsidR="00EE11BD" w:rsidRDefault="00F70457">
      <w:pPr>
        <w:spacing w:after="120"/>
        <w:rPr>
          <w:rFonts w:ascii="Aptos" w:hAnsi="Aptos" w:cs="Arial"/>
          <w:b/>
          <w:sz w:val="20"/>
          <w:szCs w:val="20"/>
          <w:lang w:val="en-IE"/>
        </w:rPr>
      </w:pPr>
      <w:r>
        <w:rPr>
          <w:rFonts w:ascii="Aptos" w:hAnsi="Aptos" w:cs="Arial"/>
          <w:b/>
          <w:sz w:val="20"/>
          <w:szCs w:val="20"/>
          <w:lang w:val="en-IE"/>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EE11BD" w14:paraId="5A5ACC03" w14:textId="77777777">
        <w:tc>
          <w:tcPr>
            <w:tcW w:w="8505" w:type="dxa"/>
            <w:shd w:val="clear" w:color="auto" w:fill="F2F2F2" w:themeFill="background1" w:themeFillShade="F2"/>
          </w:tcPr>
          <w:p w14:paraId="57B87484" w14:textId="77777777" w:rsidR="00EE11BD" w:rsidRDefault="00F70457">
            <w:pPr>
              <w:rPr>
                <w:rFonts w:ascii="Aptos" w:hAnsi="Aptos" w:cs="Arial"/>
                <w:sz w:val="20"/>
                <w:szCs w:val="20"/>
                <w:lang w:val="en-IE"/>
              </w:rPr>
            </w:pPr>
            <w:r>
              <w:rPr>
                <w:rFonts w:ascii="Aptos" w:hAnsi="Aptos" w:cs="Arial"/>
                <w:b/>
                <w:sz w:val="20"/>
                <w:szCs w:val="20"/>
                <w:lang w:val="en-IE"/>
              </w:rPr>
              <w:t xml:space="preserve">Response of proposer: </w:t>
            </w:r>
          </w:p>
        </w:tc>
      </w:tr>
      <w:tr w:rsidR="00EE11BD" w14:paraId="20C7D72D" w14:textId="77777777">
        <w:tc>
          <w:tcPr>
            <w:tcW w:w="8505" w:type="dxa"/>
          </w:tcPr>
          <w:p w14:paraId="685163AF" w14:textId="77777777" w:rsidR="00EE11BD" w:rsidRDefault="00F70457">
            <w:pPr>
              <w:rPr>
                <w:rFonts w:ascii="Aptos" w:eastAsia="Aptos" w:hAnsi="Aptos" w:cs="Aptos"/>
                <w:sz w:val="20"/>
                <w:szCs w:val="20"/>
                <w:lang w:val="en-IE"/>
              </w:rPr>
            </w:pPr>
            <w:r>
              <w:rPr>
                <w:rFonts w:ascii="Aptos" w:hAnsi="Aptos" w:cs="Arial"/>
                <w:sz w:val="20"/>
                <w:szCs w:val="20"/>
                <w:lang w:val="en-IE"/>
              </w:rPr>
              <w:t>We have expanded our explanation on the subfamily demarcation criteria, but agree with the committee that, since no better criteria are being presented, we can continue to use the current methods until newer ones are proposed</w:t>
            </w:r>
            <w:r>
              <w:rPr>
                <w:rFonts w:ascii="Aptos" w:eastAsia="Aptos" w:hAnsi="Aptos" w:cs="Aptos"/>
                <w:sz w:val="20"/>
                <w:szCs w:val="20"/>
                <w:lang w:val="en-IE"/>
              </w:rPr>
              <w:t>. The issues would only arise with the expansion of the subfamilies, but the currently assigned subfamilies have no contradictions yet.</w:t>
            </w:r>
          </w:p>
          <w:p w14:paraId="156A0D30" w14:textId="77777777" w:rsidR="00EE11BD" w:rsidRDefault="00F70457">
            <w:pPr>
              <w:rPr>
                <w:rFonts w:ascii="Aptos" w:hAnsi="Aptos" w:cs="Arial"/>
                <w:sz w:val="20"/>
                <w:szCs w:val="20"/>
                <w:lang w:val="en-IE"/>
              </w:rPr>
            </w:pPr>
            <w:r>
              <w:rPr>
                <w:rFonts w:ascii="Aptos" w:hAnsi="Aptos" w:cs="Arial"/>
                <w:sz w:val="20"/>
                <w:szCs w:val="20"/>
                <w:lang w:val="en-IE"/>
              </w:rPr>
              <w:lastRenderedPageBreak/>
              <w:t>Since sequence records were unable to be made public in time with the deadline set, we have attached the sequence records used in zipped form and created additional figures in which only the available sequences are highlighted. We have updated the Excel sheet to reflect these changes.</w:t>
            </w:r>
          </w:p>
          <w:p w14:paraId="2088B166" w14:textId="77777777" w:rsidR="00EE11BD" w:rsidRDefault="00EE11BD">
            <w:pPr>
              <w:rPr>
                <w:rFonts w:ascii="Aptos" w:hAnsi="Aptos" w:cs="Arial"/>
                <w:sz w:val="20"/>
                <w:szCs w:val="20"/>
                <w:lang w:val="en-IE"/>
              </w:rPr>
            </w:pPr>
          </w:p>
          <w:p w14:paraId="370A4A0E" w14:textId="77777777" w:rsidR="00EE11BD" w:rsidRDefault="00EE11BD">
            <w:pPr>
              <w:rPr>
                <w:rFonts w:ascii="Aptos" w:hAnsi="Aptos" w:cs="Arial"/>
                <w:sz w:val="20"/>
                <w:szCs w:val="20"/>
                <w:lang w:val="en-IE"/>
              </w:rPr>
            </w:pPr>
          </w:p>
        </w:tc>
      </w:tr>
    </w:tbl>
    <w:tbl>
      <w:tblPr>
        <w:tblStyle w:val="TableGrid"/>
        <w:tblpPr w:leftFromText="180" w:rightFromText="180" w:vertAnchor="text" w:horzAnchor="margin" w:tblpY="234"/>
        <w:tblW w:w="3823" w:type="dxa"/>
        <w:tblLayout w:type="fixed"/>
        <w:tblLook w:val="04A0" w:firstRow="1" w:lastRow="0" w:firstColumn="1" w:lastColumn="0" w:noHBand="0" w:noVBand="1"/>
      </w:tblPr>
      <w:tblGrid>
        <w:gridCol w:w="1980"/>
        <w:gridCol w:w="1843"/>
      </w:tblGrid>
      <w:tr w:rsidR="00EE11BD" w14:paraId="16B5F251" w14:textId="77777777">
        <w:trPr>
          <w:trHeight w:val="244"/>
        </w:trPr>
        <w:tc>
          <w:tcPr>
            <w:tcW w:w="1979" w:type="dxa"/>
            <w:shd w:val="clear" w:color="auto" w:fill="F2F2F2" w:themeFill="background1" w:themeFillShade="F2"/>
          </w:tcPr>
          <w:p w14:paraId="2D9695E4" w14:textId="77777777" w:rsidR="00EE11BD" w:rsidRDefault="00F70457">
            <w:pPr>
              <w:ind w:left="174"/>
              <w:rPr>
                <w:rFonts w:ascii="Aptos" w:hAnsi="Aptos" w:cs="Arial"/>
                <w:bCs/>
                <w:sz w:val="20"/>
                <w:szCs w:val="20"/>
                <w:lang w:val="en-IE"/>
              </w:rPr>
            </w:pPr>
            <w:r>
              <w:rPr>
                <w:rFonts w:ascii="Aptos" w:hAnsi="Aptos" w:cs="Arial"/>
                <w:b/>
                <w:bCs/>
                <w:sz w:val="20"/>
                <w:szCs w:val="20"/>
                <w:lang w:val="en-IE"/>
              </w:rPr>
              <w:lastRenderedPageBreak/>
              <w:t>Revision date:</w:t>
            </w:r>
          </w:p>
        </w:tc>
        <w:tc>
          <w:tcPr>
            <w:tcW w:w="1843" w:type="dxa"/>
          </w:tcPr>
          <w:p w14:paraId="05011CAE" w14:textId="42CE210F" w:rsidR="00EE11BD" w:rsidRDefault="00A50213">
            <w:pPr>
              <w:rPr>
                <w:rFonts w:ascii="Aptos" w:hAnsi="Aptos" w:cs="Arial"/>
                <w:bCs/>
                <w:sz w:val="20"/>
                <w:szCs w:val="20"/>
                <w:lang w:val="en-IE"/>
              </w:rPr>
            </w:pPr>
            <w:r>
              <w:rPr>
                <w:rFonts w:ascii="Aptos" w:hAnsi="Aptos" w:cs="Arial"/>
                <w:bCs/>
                <w:sz w:val="20"/>
                <w:szCs w:val="20"/>
                <w:lang w:val="en-IE"/>
              </w:rPr>
              <w:t>29/10/2025</w:t>
            </w:r>
          </w:p>
        </w:tc>
      </w:tr>
    </w:tbl>
    <w:p w14:paraId="5D1DBC41" w14:textId="77777777" w:rsidR="00EE11BD" w:rsidRDefault="00EE11BD">
      <w:pPr>
        <w:ind w:firstLine="720"/>
        <w:rPr>
          <w:rFonts w:ascii="Aptos" w:hAnsi="Aptos" w:cs="Arial"/>
          <w:b/>
          <w:bCs/>
          <w:sz w:val="20"/>
          <w:szCs w:val="20"/>
          <w:lang w:val="en-IE"/>
        </w:rPr>
      </w:pPr>
    </w:p>
    <w:p w14:paraId="58CBF79B" w14:textId="77777777" w:rsidR="00EE11BD" w:rsidRDefault="00EE11BD">
      <w:pPr>
        <w:rPr>
          <w:rFonts w:ascii="Aptos" w:hAnsi="Aptos" w:cs="Arial"/>
          <w:color w:val="C00000"/>
          <w:sz w:val="20"/>
          <w:szCs w:val="20"/>
          <w:lang w:val="en-IE"/>
        </w:rPr>
      </w:pPr>
    </w:p>
    <w:p w14:paraId="23E6E807" w14:textId="77777777" w:rsidR="00EE11BD" w:rsidRDefault="00EE11BD">
      <w:pPr>
        <w:ind w:firstLine="720"/>
        <w:rPr>
          <w:rFonts w:ascii="Aptos" w:hAnsi="Aptos" w:cs="Arial"/>
          <w:b/>
          <w:sz w:val="20"/>
          <w:szCs w:val="20"/>
          <w:lang w:val="en-IE"/>
        </w:rPr>
      </w:pPr>
    </w:p>
    <w:p w14:paraId="6C600B8A" w14:textId="77777777" w:rsidR="00EE11BD" w:rsidRDefault="00F70457">
      <w:pPr>
        <w:rPr>
          <w:rFonts w:ascii="Aptos" w:hAnsi="Aptos" w:cs="Arial"/>
          <w:b/>
          <w:color w:val="000000"/>
          <w:sz w:val="20"/>
          <w:szCs w:val="20"/>
          <w:lang w:val="en-IE"/>
        </w:rPr>
      </w:pPr>
      <w:r>
        <w:br w:type="page"/>
      </w:r>
    </w:p>
    <w:p w14:paraId="3BA79369" w14:textId="77777777" w:rsidR="00EE11BD" w:rsidRDefault="00EE11BD">
      <w:pPr>
        <w:rPr>
          <w:rFonts w:ascii="Aptos" w:hAnsi="Aptos"/>
          <w:sz w:val="20"/>
          <w:szCs w:val="20"/>
          <w:lang w:val="en-IE"/>
        </w:rPr>
      </w:pPr>
    </w:p>
    <w:p w14:paraId="26CEFABD" w14:textId="77777777" w:rsidR="00EE11BD" w:rsidRDefault="00F70457">
      <w:pPr>
        <w:pStyle w:val="BodyTextIndent"/>
        <w:ind w:left="0" w:firstLine="0"/>
        <w:rPr>
          <w:rFonts w:ascii="Aptos" w:hAnsi="Aptos" w:cs="Arial"/>
          <w:color w:val="000000"/>
          <w:sz w:val="20"/>
          <w:lang w:val="en-IE"/>
        </w:rPr>
      </w:pPr>
      <w:r>
        <w:rPr>
          <w:rFonts w:ascii="Aptos" w:hAnsi="Aptos" w:cs="Arial"/>
          <w:b/>
          <w:color w:val="000000"/>
          <w:sz w:val="20"/>
          <w:lang w:val="en-IE"/>
        </w:rPr>
        <w:t>Part 3:</w:t>
      </w:r>
      <w:r>
        <w:rPr>
          <w:rFonts w:ascii="Aptos" w:hAnsi="Aptos" w:cs="Arial"/>
          <w:color w:val="000000"/>
          <w:sz w:val="20"/>
          <w:lang w:val="en-IE"/>
        </w:rPr>
        <w:t xml:space="preserve"> </w:t>
      </w:r>
      <w:r>
        <w:rPr>
          <w:rFonts w:ascii="Aptos" w:hAnsi="Aptos" w:cs="Arial"/>
          <w:b/>
          <w:color w:val="000000"/>
          <w:sz w:val="20"/>
          <w:lang w:val="en-IE"/>
        </w:rPr>
        <w:t>TAXONOMIC PROPOSAL</w:t>
      </w:r>
    </w:p>
    <w:p w14:paraId="6D75E519" w14:textId="77777777" w:rsidR="00EE11BD" w:rsidRDefault="00F70457">
      <w:pPr>
        <w:pStyle w:val="BodyTextIndent"/>
        <w:ind w:left="0" w:hanging="15"/>
        <w:rPr>
          <w:rFonts w:ascii="Aptos" w:hAnsi="Aptos" w:cs="Arial"/>
          <w:b/>
          <w:color w:val="000000"/>
          <w:sz w:val="20"/>
          <w:lang w:val="en-IE"/>
        </w:rPr>
      </w:pPr>
      <w:hyperlink r:id="rId10">
        <w:r>
          <w:rPr>
            <w:rStyle w:val="Hyperlink"/>
            <w:rFonts w:ascii="Aptos" w:hAnsi="Aptos" w:cs="Arial"/>
            <w:sz w:val="20"/>
            <w:lang w:val="en-IE"/>
          </w:rPr>
          <w:t>https://ictv.global/taxonomy/templates</w:t>
        </w:r>
      </w:hyperlink>
    </w:p>
    <w:tbl>
      <w:tblPr>
        <w:tblStyle w:val="TableGrid"/>
        <w:tblW w:w="6232" w:type="dxa"/>
        <w:tblLayout w:type="fixed"/>
        <w:tblLook w:val="04A0" w:firstRow="1" w:lastRow="0" w:firstColumn="1" w:lastColumn="0" w:noHBand="0" w:noVBand="1"/>
      </w:tblPr>
      <w:tblGrid>
        <w:gridCol w:w="2973"/>
        <w:gridCol w:w="425"/>
        <w:gridCol w:w="2409"/>
        <w:gridCol w:w="425"/>
      </w:tblGrid>
      <w:tr w:rsidR="00EE11BD" w14:paraId="3E9FA684" w14:textId="77777777">
        <w:tc>
          <w:tcPr>
            <w:tcW w:w="6231" w:type="dxa"/>
            <w:gridSpan w:val="4"/>
            <w:shd w:val="clear" w:color="auto" w:fill="F2F2F2" w:themeFill="background1" w:themeFillShade="F2"/>
          </w:tcPr>
          <w:p w14:paraId="5EE2D203" w14:textId="77777777" w:rsidR="00EE11BD" w:rsidRDefault="00F70457">
            <w:pPr>
              <w:rPr>
                <w:rFonts w:ascii="Aptos" w:eastAsia="Times" w:hAnsi="Aptos" w:cs="Arial"/>
                <w:b/>
                <w:color w:val="0070C0"/>
                <w:sz w:val="20"/>
                <w:szCs w:val="20"/>
                <w:lang w:val="en-IE" w:eastAsia="en-GB"/>
              </w:rPr>
            </w:pPr>
            <w:r>
              <w:rPr>
                <w:rFonts w:ascii="Aptos" w:eastAsia="Times" w:hAnsi="Aptos" w:cs="Arial"/>
                <w:b/>
                <w:color w:val="000000"/>
                <w:sz w:val="20"/>
                <w:szCs w:val="20"/>
                <w:lang w:val="en-IE" w:eastAsia="en-GB"/>
              </w:rPr>
              <w:t xml:space="preserve">Taxonomic changes proposed: </w:t>
            </w:r>
          </w:p>
        </w:tc>
      </w:tr>
      <w:tr w:rsidR="00EE11BD" w14:paraId="60CBD3F4" w14:textId="77777777">
        <w:tc>
          <w:tcPr>
            <w:tcW w:w="2972" w:type="dxa"/>
          </w:tcPr>
          <w:p w14:paraId="0DC3DF3D"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Establish new taxon</w:t>
            </w:r>
          </w:p>
        </w:tc>
        <w:tc>
          <w:tcPr>
            <w:tcW w:w="425" w:type="dxa"/>
          </w:tcPr>
          <w:p w14:paraId="2E57CD00" w14:textId="77777777" w:rsidR="00EE11BD" w:rsidRDefault="00F70457">
            <w:pPr>
              <w:rPr>
                <w:rFonts w:ascii="Aptos" w:eastAsia="Times" w:hAnsi="Aptos" w:cs="Arial"/>
                <w:b/>
                <w:color w:val="000000"/>
                <w:sz w:val="20"/>
                <w:szCs w:val="20"/>
                <w:lang w:val="en-IE" w:eastAsia="en-GB"/>
              </w:rPr>
            </w:pPr>
            <w:r>
              <w:rPr>
                <w:rFonts w:ascii="Aptos" w:eastAsia="Times" w:hAnsi="Aptos" w:cs="Arial"/>
                <w:b/>
                <w:color w:val="000000"/>
                <w:sz w:val="20"/>
                <w:szCs w:val="20"/>
                <w:lang w:val="en-IE" w:eastAsia="en-GB"/>
              </w:rPr>
              <w:t>X</w:t>
            </w:r>
          </w:p>
        </w:tc>
        <w:tc>
          <w:tcPr>
            <w:tcW w:w="2409" w:type="dxa"/>
          </w:tcPr>
          <w:p w14:paraId="7960486C"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Split taxon</w:t>
            </w:r>
          </w:p>
        </w:tc>
        <w:tc>
          <w:tcPr>
            <w:tcW w:w="425" w:type="dxa"/>
          </w:tcPr>
          <w:p w14:paraId="7DC745C0" w14:textId="77777777" w:rsidR="00EE11BD" w:rsidRDefault="00F70457">
            <w:pPr>
              <w:rPr>
                <w:rFonts w:ascii="Aptos" w:eastAsia="Times" w:hAnsi="Aptos" w:cs="Arial"/>
                <w:b/>
                <w:color w:val="000000"/>
                <w:sz w:val="20"/>
                <w:szCs w:val="20"/>
                <w:lang w:val="en-IE" w:eastAsia="en-GB"/>
              </w:rPr>
            </w:pPr>
            <w:r>
              <w:rPr>
                <w:rFonts w:ascii="Aptos" w:eastAsia="Times" w:hAnsi="Aptos" w:cs="Arial"/>
                <w:b/>
                <w:color w:val="000000"/>
                <w:sz w:val="20"/>
                <w:szCs w:val="20"/>
                <w:lang w:val="en-IE" w:eastAsia="en-GB"/>
              </w:rPr>
              <w:t>X</w:t>
            </w:r>
          </w:p>
        </w:tc>
      </w:tr>
      <w:tr w:rsidR="00EE11BD" w14:paraId="706B8801" w14:textId="77777777">
        <w:tc>
          <w:tcPr>
            <w:tcW w:w="2972" w:type="dxa"/>
          </w:tcPr>
          <w:p w14:paraId="068F2590"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Abolish taxon</w:t>
            </w:r>
          </w:p>
        </w:tc>
        <w:tc>
          <w:tcPr>
            <w:tcW w:w="425" w:type="dxa"/>
          </w:tcPr>
          <w:p w14:paraId="3CA0CAB2" w14:textId="77777777" w:rsidR="00EE11BD" w:rsidRDefault="00EE11BD">
            <w:pPr>
              <w:rPr>
                <w:rFonts w:ascii="Aptos" w:eastAsia="Times" w:hAnsi="Aptos" w:cs="Arial"/>
                <w:b/>
                <w:color w:val="000000"/>
                <w:sz w:val="20"/>
                <w:szCs w:val="20"/>
                <w:lang w:val="en-IE" w:eastAsia="en-GB"/>
              </w:rPr>
            </w:pPr>
          </w:p>
        </w:tc>
        <w:tc>
          <w:tcPr>
            <w:tcW w:w="2409" w:type="dxa"/>
          </w:tcPr>
          <w:p w14:paraId="7F8CF024"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Merge taxon</w:t>
            </w:r>
          </w:p>
        </w:tc>
        <w:tc>
          <w:tcPr>
            <w:tcW w:w="425" w:type="dxa"/>
          </w:tcPr>
          <w:p w14:paraId="5CE5A158" w14:textId="77777777" w:rsidR="00EE11BD" w:rsidRDefault="00EE11BD">
            <w:pPr>
              <w:rPr>
                <w:rFonts w:ascii="Aptos" w:eastAsia="Times" w:hAnsi="Aptos" w:cs="Arial"/>
                <w:b/>
                <w:color w:val="000000"/>
                <w:sz w:val="20"/>
                <w:szCs w:val="20"/>
                <w:lang w:val="en-IE" w:eastAsia="en-GB"/>
              </w:rPr>
            </w:pPr>
          </w:p>
        </w:tc>
      </w:tr>
      <w:tr w:rsidR="00EE11BD" w14:paraId="2496A10E" w14:textId="77777777">
        <w:tc>
          <w:tcPr>
            <w:tcW w:w="2972" w:type="dxa"/>
          </w:tcPr>
          <w:p w14:paraId="684D82CD"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Move taxon</w:t>
            </w:r>
          </w:p>
        </w:tc>
        <w:tc>
          <w:tcPr>
            <w:tcW w:w="425" w:type="dxa"/>
          </w:tcPr>
          <w:p w14:paraId="009FD6CE" w14:textId="77777777" w:rsidR="00EE11BD" w:rsidRDefault="00EE11BD">
            <w:pPr>
              <w:rPr>
                <w:rFonts w:ascii="Aptos" w:eastAsia="Times" w:hAnsi="Aptos" w:cs="Arial"/>
                <w:b/>
                <w:color w:val="000000"/>
                <w:sz w:val="20"/>
                <w:szCs w:val="20"/>
                <w:lang w:val="en-IE" w:eastAsia="en-GB"/>
              </w:rPr>
            </w:pPr>
          </w:p>
        </w:tc>
        <w:tc>
          <w:tcPr>
            <w:tcW w:w="2409" w:type="dxa"/>
          </w:tcPr>
          <w:p w14:paraId="0F0058A2"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Promote taxon</w:t>
            </w:r>
          </w:p>
        </w:tc>
        <w:tc>
          <w:tcPr>
            <w:tcW w:w="425" w:type="dxa"/>
          </w:tcPr>
          <w:p w14:paraId="1B54F062" w14:textId="77777777" w:rsidR="00EE11BD" w:rsidRDefault="00EE11BD">
            <w:pPr>
              <w:rPr>
                <w:rFonts w:ascii="Aptos" w:eastAsia="Times" w:hAnsi="Aptos" w:cs="Arial"/>
                <w:b/>
                <w:color w:val="000000"/>
                <w:sz w:val="20"/>
                <w:szCs w:val="20"/>
                <w:lang w:val="en-IE" w:eastAsia="en-GB"/>
              </w:rPr>
            </w:pPr>
          </w:p>
        </w:tc>
      </w:tr>
      <w:tr w:rsidR="00EE11BD" w14:paraId="63B957A0" w14:textId="77777777">
        <w:tc>
          <w:tcPr>
            <w:tcW w:w="2972" w:type="dxa"/>
          </w:tcPr>
          <w:p w14:paraId="41AD4FD2"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Rename taxon</w:t>
            </w:r>
          </w:p>
        </w:tc>
        <w:tc>
          <w:tcPr>
            <w:tcW w:w="425" w:type="dxa"/>
          </w:tcPr>
          <w:p w14:paraId="30DBF030" w14:textId="77777777" w:rsidR="00EE11BD" w:rsidRDefault="00EE11BD">
            <w:pPr>
              <w:rPr>
                <w:rFonts w:ascii="Aptos" w:eastAsia="Times" w:hAnsi="Aptos" w:cs="Arial"/>
                <w:b/>
                <w:color w:val="000000"/>
                <w:sz w:val="20"/>
                <w:szCs w:val="20"/>
                <w:lang w:val="en-IE" w:eastAsia="en-GB"/>
              </w:rPr>
            </w:pPr>
          </w:p>
        </w:tc>
        <w:tc>
          <w:tcPr>
            <w:tcW w:w="2409" w:type="dxa"/>
          </w:tcPr>
          <w:p w14:paraId="009A28C6" w14:textId="77777777" w:rsidR="00EE11BD" w:rsidRDefault="00F70457">
            <w:pPr>
              <w:rPr>
                <w:rFonts w:ascii="Aptos" w:eastAsia="Times" w:hAnsi="Aptos" w:cs="Arial"/>
                <w:color w:val="000000"/>
                <w:sz w:val="20"/>
                <w:szCs w:val="20"/>
                <w:lang w:val="en-IE" w:eastAsia="en-GB"/>
              </w:rPr>
            </w:pPr>
            <w:r>
              <w:rPr>
                <w:rFonts w:ascii="Aptos" w:eastAsia="Times" w:hAnsi="Aptos" w:cs="Arial"/>
                <w:color w:val="000000"/>
                <w:sz w:val="20"/>
                <w:szCs w:val="20"/>
                <w:lang w:val="en-IE" w:eastAsia="en-GB"/>
              </w:rPr>
              <w:t>Demote taxon</w:t>
            </w:r>
          </w:p>
        </w:tc>
        <w:tc>
          <w:tcPr>
            <w:tcW w:w="425" w:type="dxa"/>
          </w:tcPr>
          <w:p w14:paraId="351AE469" w14:textId="77777777" w:rsidR="00EE11BD" w:rsidRDefault="00EE11BD">
            <w:pPr>
              <w:rPr>
                <w:rFonts w:ascii="Aptos" w:eastAsia="Times" w:hAnsi="Aptos" w:cs="Arial"/>
                <w:b/>
                <w:color w:val="000000"/>
                <w:sz w:val="20"/>
                <w:szCs w:val="20"/>
                <w:lang w:val="en-IE" w:eastAsia="en-GB"/>
              </w:rPr>
            </w:pPr>
          </w:p>
        </w:tc>
      </w:tr>
      <w:tr w:rsidR="00EE11BD" w14:paraId="505C4656" w14:textId="77777777">
        <w:tc>
          <w:tcPr>
            <w:tcW w:w="2972" w:type="dxa"/>
          </w:tcPr>
          <w:p w14:paraId="58638567" w14:textId="77777777" w:rsidR="00EE11BD" w:rsidRDefault="00F70457">
            <w:pPr>
              <w:rPr>
                <w:rFonts w:ascii="Aptos" w:hAnsi="Aptos" w:cs="Arial"/>
                <w:b/>
                <w:sz w:val="20"/>
                <w:szCs w:val="20"/>
                <w:lang w:val="en-IE"/>
              </w:rPr>
            </w:pPr>
            <w:r>
              <w:rPr>
                <w:rFonts w:ascii="Aptos" w:eastAsia="Times" w:hAnsi="Aptos" w:cs="Arial"/>
                <w:color w:val="000000"/>
                <w:sz w:val="20"/>
                <w:szCs w:val="20"/>
                <w:lang w:val="en-IE" w:eastAsia="en-GB"/>
              </w:rPr>
              <w:t>Move and rename</w:t>
            </w:r>
          </w:p>
        </w:tc>
        <w:tc>
          <w:tcPr>
            <w:tcW w:w="425" w:type="dxa"/>
          </w:tcPr>
          <w:p w14:paraId="7D01B4B4" w14:textId="77777777" w:rsidR="00EE11BD" w:rsidRDefault="00F70457">
            <w:pPr>
              <w:rPr>
                <w:rFonts w:ascii="Aptos" w:hAnsi="Aptos" w:cs="Arial"/>
                <w:b/>
                <w:sz w:val="20"/>
                <w:szCs w:val="20"/>
                <w:lang w:val="en-IE"/>
              </w:rPr>
            </w:pPr>
            <w:r>
              <w:rPr>
                <w:rFonts w:ascii="Aptos" w:hAnsi="Aptos" w:cs="Arial"/>
                <w:b/>
                <w:sz w:val="20"/>
                <w:szCs w:val="20"/>
                <w:lang w:val="en-IE"/>
              </w:rPr>
              <w:t>X</w:t>
            </w:r>
          </w:p>
        </w:tc>
        <w:tc>
          <w:tcPr>
            <w:tcW w:w="2409" w:type="dxa"/>
            <w:tcBorders>
              <w:top w:val="nil"/>
              <w:left w:val="nil"/>
              <w:bottom w:val="nil"/>
              <w:right w:val="nil"/>
            </w:tcBorders>
          </w:tcPr>
          <w:p w14:paraId="457E59FF" w14:textId="77777777" w:rsidR="00EE11BD" w:rsidRDefault="00EE11BD"/>
        </w:tc>
        <w:tc>
          <w:tcPr>
            <w:tcW w:w="425" w:type="dxa"/>
            <w:tcBorders>
              <w:top w:val="nil"/>
              <w:left w:val="nil"/>
              <w:bottom w:val="nil"/>
              <w:right w:val="nil"/>
            </w:tcBorders>
          </w:tcPr>
          <w:p w14:paraId="1B4F682D" w14:textId="77777777" w:rsidR="00EE11BD" w:rsidRDefault="00EE11BD"/>
        </w:tc>
      </w:tr>
    </w:tbl>
    <w:p w14:paraId="7F032FB9" w14:textId="77777777" w:rsidR="00EE11BD" w:rsidRDefault="00EE11BD">
      <w:pPr>
        <w:rPr>
          <w:rFonts w:ascii="Aptos" w:hAnsi="Aptos" w:cs="Arial"/>
          <w:color w:val="808080" w:themeColor="background1" w:themeShade="80"/>
          <w:sz w:val="20"/>
          <w:lang w:val="en-IE"/>
        </w:rPr>
      </w:pPr>
    </w:p>
    <w:tbl>
      <w:tblPr>
        <w:tblStyle w:val="TableGrid"/>
        <w:tblW w:w="8926" w:type="dxa"/>
        <w:tblLayout w:type="fixed"/>
        <w:tblLook w:val="04A0" w:firstRow="1" w:lastRow="0" w:firstColumn="1" w:lastColumn="0" w:noHBand="0" w:noVBand="1"/>
      </w:tblPr>
      <w:tblGrid>
        <w:gridCol w:w="2546"/>
        <w:gridCol w:w="6380"/>
      </w:tblGrid>
      <w:tr w:rsidR="00EE11BD" w14:paraId="28D88696" w14:textId="77777777" w:rsidTr="002837B7">
        <w:trPr>
          <w:trHeight w:val="297"/>
        </w:trPr>
        <w:tc>
          <w:tcPr>
            <w:tcW w:w="8926" w:type="dxa"/>
            <w:gridSpan w:val="2"/>
            <w:shd w:val="clear" w:color="auto" w:fill="F2F2F2" w:themeFill="background1" w:themeFillShade="F2"/>
          </w:tcPr>
          <w:p w14:paraId="384ACE49" w14:textId="77777777" w:rsidR="00EE11BD" w:rsidRDefault="00F70457">
            <w:pPr>
              <w:rPr>
                <w:rFonts w:ascii="Aptos" w:hAnsi="Aptos" w:cs="Arial"/>
                <w:b/>
                <w:color w:val="0000FF"/>
                <w:sz w:val="20"/>
                <w:lang w:val="en-IE"/>
              </w:rPr>
            </w:pPr>
            <w:r>
              <w:rPr>
                <w:rFonts w:ascii="Aptos" w:hAnsi="Aptos" w:cs="Arial"/>
                <w:b/>
                <w:sz w:val="20"/>
                <w:szCs w:val="20"/>
                <w:lang w:val="en-IE"/>
              </w:rPr>
              <w:t xml:space="preserve">Etymology (origin) of proposed taxonomic names: </w:t>
            </w:r>
          </w:p>
        </w:tc>
      </w:tr>
      <w:tr w:rsidR="00EE11BD" w14:paraId="6CF877A5" w14:textId="77777777" w:rsidTr="002837B7">
        <w:trPr>
          <w:trHeight w:val="73"/>
        </w:trPr>
        <w:tc>
          <w:tcPr>
            <w:tcW w:w="2546" w:type="dxa"/>
          </w:tcPr>
          <w:p w14:paraId="15AFE796" w14:textId="77777777" w:rsidR="00EE11BD" w:rsidRDefault="00F70457">
            <w:pPr>
              <w:rPr>
                <w:rFonts w:ascii="Aptos" w:hAnsi="Aptos" w:cs="Arial"/>
                <w:bCs/>
                <w:sz w:val="20"/>
                <w:szCs w:val="20"/>
                <w:lang w:val="en-IE"/>
              </w:rPr>
            </w:pPr>
            <w:r>
              <w:rPr>
                <w:rFonts w:ascii="Aptos" w:hAnsi="Aptos" w:cs="Arial"/>
                <w:bCs/>
                <w:sz w:val="20"/>
                <w:szCs w:val="20"/>
                <w:lang w:val="en-IE"/>
              </w:rPr>
              <w:t xml:space="preserve">Taxon name </w:t>
            </w:r>
          </w:p>
        </w:tc>
        <w:tc>
          <w:tcPr>
            <w:tcW w:w="6380" w:type="dxa"/>
          </w:tcPr>
          <w:p w14:paraId="185416B9" w14:textId="77777777" w:rsidR="00EE11BD" w:rsidRDefault="00F70457">
            <w:pPr>
              <w:rPr>
                <w:rFonts w:ascii="Aptos" w:hAnsi="Aptos" w:cs="Arial"/>
                <w:bCs/>
                <w:sz w:val="20"/>
                <w:szCs w:val="20"/>
                <w:lang w:val="en-IE"/>
              </w:rPr>
            </w:pPr>
            <w:r>
              <w:rPr>
                <w:rFonts w:ascii="Aptos" w:hAnsi="Aptos" w:cs="Arial"/>
                <w:bCs/>
                <w:sz w:val="20"/>
                <w:szCs w:val="20"/>
                <w:lang w:val="en-IE"/>
              </w:rPr>
              <w:t>Etymology of the term</w:t>
            </w:r>
          </w:p>
        </w:tc>
      </w:tr>
      <w:tr w:rsidR="00EE11BD" w14:paraId="67321BF7" w14:textId="77777777" w:rsidTr="002837B7">
        <w:trPr>
          <w:trHeight w:val="71"/>
        </w:trPr>
        <w:tc>
          <w:tcPr>
            <w:tcW w:w="2546" w:type="dxa"/>
            <w:vAlign w:val="center"/>
          </w:tcPr>
          <w:p w14:paraId="1312D6E0" w14:textId="77777777" w:rsidR="00EE11BD" w:rsidRDefault="00F70457">
            <w:pPr>
              <w:jc w:val="both"/>
              <w:rPr>
                <w:rFonts w:ascii="Aptos" w:hAnsi="Aptos" w:cs="Arial"/>
                <w:i/>
                <w:iCs/>
                <w:color w:val="000000" w:themeColor="text1"/>
                <w:sz w:val="20"/>
                <w:szCs w:val="20"/>
                <w:lang w:val="en-IE"/>
              </w:rPr>
            </w:pPr>
            <w:proofErr w:type="spellStart"/>
            <w:r>
              <w:rPr>
                <w:rFonts w:ascii="Aptos" w:hAnsi="Aptos" w:cs="Arial"/>
                <w:i/>
                <w:iCs/>
                <w:color w:val="000000" w:themeColor="text1"/>
                <w:sz w:val="20"/>
                <w:szCs w:val="20"/>
                <w:lang w:val="en-IE"/>
              </w:rPr>
              <w:t>Paracrassvirales</w:t>
            </w:r>
            <w:proofErr w:type="spellEnd"/>
          </w:p>
        </w:tc>
        <w:tc>
          <w:tcPr>
            <w:tcW w:w="6380" w:type="dxa"/>
            <w:vAlign w:val="center"/>
          </w:tcPr>
          <w:p w14:paraId="54CA126F" w14:textId="77777777" w:rsidR="00EE11BD" w:rsidRDefault="00F70457">
            <w:pPr>
              <w:jc w:val="both"/>
              <w:rPr>
                <w:rFonts w:ascii="Aptos" w:hAnsi="Aptos" w:cs="Arial"/>
                <w:bCs/>
                <w:color w:val="000000" w:themeColor="text1"/>
                <w:sz w:val="20"/>
                <w:szCs w:val="20"/>
                <w:lang w:val="en-IE"/>
              </w:rPr>
            </w:pPr>
            <w:r>
              <w:rPr>
                <w:rFonts w:ascii="Aptos" w:hAnsi="Aptos" w:cs="Arial"/>
                <w:bCs/>
                <w:color w:val="000000" w:themeColor="text1"/>
                <w:sz w:val="20"/>
                <w:szCs w:val="20"/>
                <w:lang w:val="en-IE"/>
              </w:rPr>
              <w:t xml:space="preserve">Meaning "near" or "beside" </w:t>
            </w:r>
            <w:proofErr w:type="spellStart"/>
            <w:r>
              <w:rPr>
                <w:rFonts w:ascii="Aptos" w:hAnsi="Aptos" w:cs="Arial"/>
                <w:bCs/>
                <w:i/>
                <w:iCs/>
                <w:color w:val="000000" w:themeColor="text1"/>
                <w:sz w:val="20"/>
                <w:szCs w:val="20"/>
                <w:lang w:val="en-IE"/>
              </w:rPr>
              <w:t>Crassvirales</w:t>
            </w:r>
            <w:proofErr w:type="spellEnd"/>
            <w:r>
              <w:rPr>
                <w:rFonts w:ascii="Aptos" w:hAnsi="Aptos" w:cs="Arial"/>
                <w:bCs/>
                <w:color w:val="000000" w:themeColor="text1"/>
                <w:sz w:val="20"/>
                <w:szCs w:val="20"/>
                <w:lang w:val="en-IE"/>
              </w:rPr>
              <w:t xml:space="preserve">, this clade is highly similar to </w:t>
            </w:r>
            <w:proofErr w:type="spellStart"/>
            <w:r>
              <w:rPr>
                <w:rFonts w:ascii="Aptos" w:hAnsi="Aptos" w:cs="Arial"/>
                <w:bCs/>
                <w:i/>
                <w:iCs/>
                <w:color w:val="000000" w:themeColor="text1"/>
                <w:sz w:val="20"/>
                <w:szCs w:val="20"/>
                <w:lang w:val="en-IE"/>
              </w:rPr>
              <w:t>Crassvirales</w:t>
            </w:r>
            <w:proofErr w:type="spellEnd"/>
            <w:r>
              <w:rPr>
                <w:rFonts w:ascii="Aptos" w:hAnsi="Aptos" w:cs="Arial"/>
                <w:bCs/>
                <w:color w:val="000000" w:themeColor="text1"/>
                <w:sz w:val="20"/>
                <w:szCs w:val="20"/>
                <w:lang w:val="en-IE"/>
              </w:rPr>
              <w:t>.</w:t>
            </w:r>
          </w:p>
        </w:tc>
      </w:tr>
      <w:tr w:rsidR="00EE11BD" w14:paraId="3B55556D" w14:textId="77777777" w:rsidTr="002837B7">
        <w:trPr>
          <w:trHeight w:val="71"/>
        </w:trPr>
        <w:tc>
          <w:tcPr>
            <w:tcW w:w="2546" w:type="dxa"/>
            <w:vAlign w:val="center"/>
          </w:tcPr>
          <w:p w14:paraId="0867C54D" w14:textId="77777777" w:rsidR="00EE11BD" w:rsidRDefault="00F70457">
            <w:pPr>
              <w:jc w:val="both"/>
              <w:rPr>
                <w:rFonts w:ascii="Aptos" w:hAnsi="Aptos" w:cs="Arial"/>
                <w:i/>
                <w:iCs/>
                <w:color w:val="000000" w:themeColor="text1"/>
                <w:sz w:val="20"/>
                <w:szCs w:val="20"/>
                <w:lang w:val="en-IE"/>
              </w:rPr>
            </w:pPr>
            <w:proofErr w:type="spellStart"/>
            <w:r>
              <w:rPr>
                <w:rFonts w:ascii="Aptos" w:hAnsi="Aptos" w:cs="Arial"/>
                <w:i/>
                <w:iCs/>
                <w:color w:val="000000" w:themeColor="text1"/>
                <w:sz w:val="20"/>
                <w:szCs w:val="20"/>
                <w:lang w:val="en-IE"/>
              </w:rPr>
              <w:t>Metacrassvirales</w:t>
            </w:r>
            <w:proofErr w:type="spellEnd"/>
          </w:p>
        </w:tc>
        <w:tc>
          <w:tcPr>
            <w:tcW w:w="6380" w:type="dxa"/>
            <w:vAlign w:val="center"/>
          </w:tcPr>
          <w:p w14:paraId="1008C409" w14:textId="77777777" w:rsidR="00EE11BD" w:rsidRDefault="00F70457">
            <w:pPr>
              <w:jc w:val="both"/>
              <w:rPr>
                <w:rFonts w:ascii="Aptos" w:hAnsi="Aptos" w:cs="Arial"/>
                <w:bCs/>
                <w:color w:val="000000" w:themeColor="text1"/>
                <w:sz w:val="20"/>
                <w:szCs w:val="20"/>
                <w:lang w:val="en-IE"/>
              </w:rPr>
            </w:pPr>
            <w:r>
              <w:rPr>
                <w:rFonts w:ascii="Aptos" w:hAnsi="Aptos" w:cs="Arial"/>
                <w:bCs/>
                <w:color w:val="000000" w:themeColor="text1"/>
                <w:sz w:val="20"/>
                <w:szCs w:val="20"/>
                <w:lang w:val="en-IE"/>
              </w:rPr>
              <w:t xml:space="preserve">Meaning “beyond” or “other” </w:t>
            </w:r>
            <w:proofErr w:type="spellStart"/>
            <w:r>
              <w:rPr>
                <w:rFonts w:ascii="Aptos" w:hAnsi="Aptos" w:cs="Arial"/>
                <w:bCs/>
                <w:i/>
                <w:iCs/>
                <w:color w:val="000000" w:themeColor="text1"/>
                <w:sz w:val="20"/>
                <w:szCs w:val="20"/>
                <w:lang w:val="en-IE"/>
              </w:rPr>
              <w:t>Crassvirales</w:t>
            </w:r>
            <w:proofErr w:type="spellEnd"/>
            <w:r>
              <w:rPr>
                <w:rFonts w:ascii="Aptos" w:hAnsi="Aptos" w:cs="Arial"/>
                <w:bCs/>
                <w:color w:val="000000" w:themeColor="text1"/>
                <w:sz w:val="20"/>
                <w:szCs w:val="20"/>
                <w:lang w:val="en-IE"/>
              </w:rPr>
              <w:t xml:space="preserve">, this clade is highly similar to </w:t>
            </w:r>
            <w:proofErr w:type="spellStart"/>
            <w:r>
              <w:rPr>
                <w:rFonts w:ascii="Aptos" w:hAnsi="Aptos" w:cs="Arial"/>
                <w:bCs/>
                <w:i/>
                <w:iCs/>
                <w:color w:val="000000" w:themeColor="text1"/>
                <w:sz w:val="20"/>
                <w:szCs w:val="20"/>
                <w:lang w:val="en-IE"/>
              </w:rPr>
              <w:t>Crassvirales</w:t>
            </w:r>
            <w:proofErr w:type="spellEnd"/>
            <w:r>
              <w:rPr>
                <w:rFonts w:ascii="Aptos" w:hAnsi="Aptos" w:cs="Arial"/>
                <w:bCs/>
                <w:color w:val="000000" w:themeColor="text1"/>
                <w:sz w:val="20"/>
                <w:szCs w:val="20"/>
                <w:lang w:val="en-IE"/>
              </w:rPr>
              <w:t>.</w:t>
            </w:r>
          </w:p>
        </w:tc>
      </w:tr>
      <w:tr w:rsidR="00EE11BD" w14:paraId="79202F4A" w14:textId="77777777" w:rsidTr="002837B7">
        <w:trPr>
          <w:trHeight w:val="71"/>
        </w:trPr>
        <w:tc>
          <w:tcPr>
            <w:tcW w:w="2546" w:type="dxa"/>
            <w:vAlign w:val="center"/>
          </w:tcPr>
          <w:p w14:paraId="53BB0D5D" w14:textId="77777777" w:rsidR="00EE11BD" w:rsidRPr="002837B7" w:rsidRDefault="00F70457">
            <w:pPr>
              <w:jc w:val="both"/>
              <w:rPr>
                <w:rFonts w:ascii="Aptos" w:hAnsi="Aptos" w:cs="Arial"/>
                <w:i/>
                <w:iCs/>
                <w:color w:val="000000" w:themeColor="text1"/>
                <w:sz w:val="20"/>
                <w:szCs w:val="20"/>
                <w:lang w:val="en-IE"/>
              </w:rPr>
            </w:pPr>
            <w:proofErr w:type="spellStart"/>
            <w:r w:rsidRPr="002837B7">
              <w:rPr>
                <w:rFonts w:ascii="Aptos" w:hAnsi="Aptos" w:cs="Arial"/>
                <w:i/>
                <w:iCs/>
                <w:color w:val="000000" w:themeColor="text1"/>
                <w:sz w:val="20"/>
                <w:szCs w:val="20"/>
                <w:lang w:val="en-IE"/>
              </w:rPr>
              <w:t>Tinaiviridae</w:t>
            </w:r>
            <w:proofErr w:type="spellEnd"/>
          </w:p>
        </w:tc>
        <w:tc>
          <w:tcPr>
            <w:tcW w:w="6380" w:type="dxa"/>
            <w:vAlign w:val="center"/>
          </w:tcPr>
          <w:p w14:paraId="49FC8FA9" w14:textId="77777777" w:rsidR="00EE11BD" w:rsidRDefault="00F70457">
            <w:pPr>
              <w:jc w:val="both"/>
              <w:rPr>
                <w:rFonts w:ascii="Aptos" w:hAnsi="Aptos" w:cs="Arial"/>
                <w:bCs/>
                <w:color w:val="000000" w:themeColor="text1"/>
                <w:sz w:val="20"/>
                <w:szCs w:val="20"/>
                <w:lang w:val="en-IE"/>
              </w:rPr>
            </w:pPr>
            <w:r>
              <w:rPr>
                <w:rFonts w:ascii="Aptos" w:hAnsi="Aptos" w:cs="Arial"/>
                <w:bCs/>
                <w:color w:val="000000" w:themeColor="text1"/>
                <w:sz w:val="20"/>
                <w:szCs w:val="20"/>
                <w:lang w:val="en-IE"/>
              </w:rPr>
              <w:t>From the Central Dusun “</w:t>
            </w:r>
            <w:proofErr w:type="spellStart"/>
            <w:r>
              <w:rPr>
                <w:rFonts w:ascii="Aptos" w:hAnsi="Aptos" w:cs="Arial"/>
                <w:bCs/>
                <w:color w:val="000000" w:themeColor="text1"/>
                <w:sz w:val="20"/>
                <w:szCs w:val="20"/>
                <w:lang w:val="en-IE"/>
              </w:rPr>
              <w:t>tinai</w:t>
            </w:r>
            <w:proofErr w:type="spellEnd"/>
            <w:r>
              <w:rPr>
                <w:rFonts w:ascii="Aptos" w:hAnsi="Aptos" w:cs="Arial"/>
                <w:bCs/>
                <w:color w:val="000000" w:themeColor="text1"/>
                <w:sz w:val="20"/>
                <w:szCs w:val="20"/>
                <w:lang w:val="en-IE"/>
              </w:rPr>
              <w:t>”, meaning intestines</w:t>
            </w:r>
          </w:p>
        </w:tc>
      </w:tr>
      <w:tr w:rsidR="00EE11BD" w14:paraId="455E9566" w14:textId="77777777" w:rsidTr="002837B7">
        <w:trPr>
          <w:trHeight w:val="71"/>
        </w:trPr>
        <w:tc>
          <w:tcPr>
            <w:tcW w:w="2546" w:type="dxa"/>
            <w:vAlign w:val="center"/>
          </w:tcPr>
          <w:p w14:paraId="62C33579" w14:textId="77777777" w:rsidR="00EE11BD" w:rsidRPr="002837B7" w:rsidRDefault="00F70457">
            <w:pPr>
              <w:jc w:val="both"/>
              <w:rPr>
                <w:rFonts w:ascii="Aptos" w:hAnsi="Aptos" w:cs="Arial"/>
                <w:i/>
                <w:iCs/>
                <w:color w:val="000000" w:themeColor="text1"/>
                <w:sz w:val="20"/>
                <w:szCs w:val="20"/>
                <w:lang w:val="en-IE"/>
              </w:rPr>
            </w:pPr>
            <w:proofErr w:type="spellStart"/>
            <w:r w:rsidRPr="002837B7">
              <w:rPr>
                <w:rFonts w:ascii="Aptos" w:hAnsi="Aptos" w:cs="Arial"/>
                <w:i/>
                <w:iCs/>
                <w:color w:val="000000" w:themeColor="text1"/>
                <w:sz w:val="20"/>
                <w:szCs w:val="20"/>
                <w:lang w:val="en-IE"/>
              </w:rPr>
              <w:t>Darmviridae</w:t>
            </w:r>
            <w:proofErr w:type="spellEnd"/>
          </w:p>
        </w:tc>
        <w:tc>
          <w:tcPr>
            <w:tcW w:w="6380" w:type="dxa"/>
            <w:vAlign w:val="center"/>
          </w:tcPr>
          <w:p w14:paraId="75E74C14" w14:textId="77777777" w:rsidR="00EE11BD" w:rsidRDefault="00F70457">
            <w:pPr>
              <w:jc w:val="both"/>
              <w:rPr>
                <w:rFonts w:ascii="Aptos" w:hAnsi="Aptos" w:cs="Arial"/>
                <w:bCs/>
                <w:color w:val="000000" w:themeColor="text1"/>
                <w:sz w:val="20"/>
                <w:szCs w:val="20"/>
                <w:lang w:val="en-IE"/>
              </w:rPr>
            </w:pPr>
            <w:r>
              <w:rPr>
                <w:rFonts w:ascii="Aptos" w:hAnsi="Aptos" w:cs="Arial"/>
                <w:bCs/>
                <w:color w:val="000000" w:themeColor="text1"/>
                <w:sz w:val="20"/>
                <w:szCs w:val="20"/>
                <w:lang w:val="en-IE"/>
              </w:rPr>
              <w:t>From the Dutch “</w:t>
            </w:r>
            <w:proofErr w:type="spellStart"/>
            <w:r>
              <w:rPr>
                <w:rFonts w:ascii="Aptos" w:hAnsi="Aptos" w:cs="Arial"/>
                <w:bCs/>
                <w:color w:val="000000" w:themeColor="text1"/>
                <w:sz w:val="20"/>
                <w:szCs w:val="20"/>
                <w:lang w:val="en-IE"/>
              </w:rPr>
              <w:t>darm</w:t>
            </w:r>
            <w:proofErr w:type="spellEnd"/>
            <w:r>
              <w:rPr>
                <w:rFonts w:ascii="Aptos" w:hAnsi="Aptos" w:cs="Arial"/>
                <w:bCs/>
                <w:color w:val="000000" w:themeColor="text1"/>
                <w:sz w:val="20"/>
                <w:szCs w:val="20"/>
                <w:lang w:val="en-IE"/>
              </w:rPr>
              <w:t>”, meaning intestines</w:t>
            </w:r>
          </w:p>
        </w:tc>
      </w:tr>
      <w:tr w:rsidR="00EE11BD" w14:paraId="54F57044" w14:textId="77777777" w:rsidTr="002837B7">
        <w:trPr>
          <w:trHeight w:val="71"/>
        </w:trPr>
        <w:tc>
          <w:tcPr>
            <w:tcW w:w="2546" w:type="dxa"/>
            <w:vAlign w:val="center"/>
          </w:tcPr>
          <w:p w14:paraId="2BD2FF2F" w14:textId="77777777" w:rsidR="00EE11BD" w:rsidRPr="002837B7" w:rsidRDefault="00F70457">
            <w:pPr>
              <w:jc w:val="both"/>
              <w:rPr>
                <w:rFonts w:ascii="Aptos" w:hAnsi="Aptos" w:cs="Arial"/>
                <w:i/>
                <w:iCs/>
                <w:color w:val="000000" w:themeColor="text1"/>
                <w:sz w:val="20"/>
                <w:szCs w:val="20"/>
                <w:lang w:val="en-IE"/>
              </w:rPr>
            </w:pPr>
            <w:proofErr w:type="spellStart"/>
            <w:r w:rsidRPr="002837B7">
              <w:rPr>
                <w:rFonts w:ascii="Aptos" w:hAnsi="Aptos" w:cs="Arial"/>
                <w:i/>
                <w:iCs/>
                <w:color w:val="000000" w:themeColor="text1"/>
                <w:sz w:val="20"/>
                <w:szCs w:val="20"/>
                <w:lang w:val="en-IE"/>
              </w:rPr>
              <w:t>Tripviridae</w:t>
            </w:r>
            <w:proofErr w:type="spellEnd"/>
          </w:p>
        </w:tc>
        <w:tc>
          <w:tcPr>
            <w:tcW w:w="6380" w:type="dxa"/>
            <w:vAlign w:val="center"/>
          </w:tcPr>
          <w:p w14:paraId="5894866A" w14:textId="77777777" w:rsidR="00EE11BD" w:rsidRDefault="00F70457">
            <w:pPr>
              <w:jc w:val="both"/>
              <w:rPr>
                <w:rFonts w:ascii="Aptos" w:hAnsi="Aptos" w:cs="Arial"/>
                <w:bCs/>
                <w:color w:val="000000" w:themeColor="text1"/>
                <w:sz w:val="20"/>
                <w:szCs w:val="20"/>
                <w:lang w:val="en-IE"/>
              </w:rPr>
            </w:pPr>
            <w:r>
              <w:rPr>
                <w:rFonts w:ascii="Aptos" w:hAnsi="Aptos" w:cs="Arial"/>
                <w:bCs/>
                <w:color w:val="000000" w:themeColor="text1"/>
                <w:sz w:val="20"/>
                <w:szCs w:val="20"/>
                <w:lang w:val="en-IE"/>
              </w:rPr>
              <w:t>From the French “tripes” meaning intestines</w:t>
            </w:r>
          </w:p>
        </w:tc>
      </w:tr>
      <w:tr w:rsidR="00EE11BD" w14:paraId="21373EAC" w14:textId="77777777" w:rsidTr="002837B7">
        <w:trPr>
          <w:trHeight w:val="71"/>
        </w:trPr>
        <w:tc>
          <w:tcPr>
            <w:tcW w:w="2546" w:type="dxa"/>
            <w:vAlign w:val="center"/>
          </w:tcPr>
          <w:p w14:paraId="4C37F81A" w14:textId="77777777" w:rsidR="00EE11BD" w:rsidRDefault="00EE11BD">
            <w:pPr>
              <w:jc w:val="both"/>
              <w:rPr>
                <w:rFonts w:ascii="Aptos" w:hAnsi="Aptos" w:cs="Arial"/>
                <w:b/>
                <w:color w:val="000000" w:themeColor="text1"/>
                <w:sz w:val="20"/>
                <w:szCs w:val="20"/>
                <w:lang w:val="en-IE"/>
              </w:rPr>
            </w:pPr>
          </w:p>
        </w:tc>
        <w:tc>
          <w:tcPr>
            <w:tcW w:w="6380" w:type="dxa"/>
            <w:vAlign w:val="center"/>
          </w:tcPr>
          <w:p w14:paraId="1A35E8F8" w14:textId="77777777" w:rsidR="00EE11BD" w:rsidRDefault="00EE11BD">
            <w:pPr>
              <w:jc w:val="both"/>
              <w:rPr>
                <w:rFonts w:ascii="Aptos" w:hAnsi="Aptos" w:cs="Arial"/>
                <w:b/>
                <w:color w:val="000000" w:themeColor="text1"/>
                <w:sz w:val="20"/>
                <w:szCs w:val="20"/>
                <w:lang w:val="en-IE"/>
              </w:rPr>
            </w:pPr>
          </w:p>
        </w:tc>
      </w:tr>
    </w:tbl>
    <w:p w14:paraId="5F6C1863" w14:textId="77777777" w:rsidR="00EE11BD" w:rsidRDefault="00EE11BD">
      <w:pPr>
        <w:rPr>
          <w:rFonts w:ascii="Aptos" w:hAnsi="Aptos" w:cs="Arial"/>
          <w:color w:val="0000FF"/>
          <w:sz w:val="20"/>
          <w:szCs w:val="20"/>
          <w:lang w:val="en-IE"/>
        </w:rPr>
      </w:pPr>
    </w:p>
    <w:tbl>
      <w:tblPr>
        <w:tblStyle w:val="TableGrid"/>
        <w:tblW w:w="8926" w:type="dxa"/>
        <w:tblLayout w:type="fixed"/>
        <w:tblLook w:val="04A0" w:firstRow="1" w:lastRow="0" w:firstColumn="1" w:lastColumn="0" w:noHBand="0" w:noVBand="1"/>
      </w:tblPr>
      <w:tblGrid>
        <w:gridCol w:w="2546"/>
        <w:gridCol w:w="5103"/>
        <w:gridCol w:w="1277"/>
      </w:tblGrid>
      <w:tr w:rsidR="00EE11BD" w14:paraId="31CDFB61" w14:textId="77777777">
        <w:tc>
          <w:tcPr>
            <w:tcW w:w="8926" w:type="dxa"/>
            <w:gridSpan w:val="3"/>
            <w:shd w:val="clear" w:color="auto" w:fill="F2F2F2" w:themeFill="background1" w:themeFillShade="F2"/>
          </w:tcPr>
          <w:p w14:paraId="50F067E1" w14:textId="77777777" w:rsidR="00EE11BD" w:rsidRDefault="00F70457">
            <w:pPr>
              <w:rPr>
                <w:rFonts w:ascii="Aptos" w:hAnsi="Aptos" w:cs="Arial"/>
                <w:color w:val="0000FF"/>
                <w:sz w:val="20"/>
                <w:szCs w:val="20"/>
                <w:lang w:val="en-IE"/>
              </w:rPr>
            </w:pPr>
            <w:r>
              <w:rPr>
                <w:rFonts w:ascii="Aptos" w:hAnsi="Aptos" w:cs="Arial"/>
                <w:b/>
                <w:bCs/>
                <w:color w:val="000000"/>
                <w:sz w:val="20"/>
                <w:szCs w:val="20"/>
                <w:lang w:val="en-IE"/>
              </w:rPr>
              <w:t xml:space="preserve">Permission for use of names derived from a living person:        </w:t>
            </w:r>
          </w:p>
        </w:tc>
      </w:tr>
      <w:tr w:rsidR="00EE11BD" w14:paraId="7C91999E" w14:textId="77777777">
        <w:tc>
          <w:tcPr>
            <w:tcW w:w="2546" w:type="dxa"/>
          </w:tcPr>
          <w:p w14:paraId="46318D82" w14:textId="77777777" w:rsidR="00EE11BD" w:rsidRDefault="00F70457">
            <w:pPr>
              <w:rPr>
                <w:rFonts w:ascii="Aptos" w:hAnsi="Aptos" w:cs="Arial"/>
                <w:color w:val="0000FF"/>
                <w:sz w:val="20"/>
                <w:szCs w:val="20"/>
                <w:lang w:val="en-IE"/>
              </w:rPr>
            </w:pPr>
            <w:r>
              <w:rPr>
                <w:rFonts w:ascii="Aptos" w:hAnsi="Aptos" w:cs="Arial"/>
                <w:b/>
                <w:bCs/>
                <w:color w:val="000000"/>
                <w:sz w:val="20"/>
                <w:szCs w:val="20"/>
                <w:lang w:val="en-IE"/>
              </w:rPr>
              <w:t>Taxon name</w:t>
            </w:r>
          </w:p>
        </w:tc>
        <w:tc>
          <w:tcPr>
            <w:tcW w:w="5103" w:type="dxa"/>
          </w:tcPr>
          <w:p w14:paraId="760E82D3" w14:textId="77777777" w:rsidR="00EE11BD" w:rsidRDefault="00F70457">
            <w:pPr>
              <w:rPr>
                <w:rFonts w:ascii="Aptos" w:hAnsi="Aptos" w:cs="Arial"/>
                <w:color w:val="0000FF"/>
                <w:sz w:val="20"/>
                <w:szCs w:val="20"/>
                <w:lang w:val="en-IE"/>
              </w:rPr>
            </w:pPr>
            <w:r>
              <w:rPr>
                <w:rFonts w:ascii="Aptos" w:hAnsi="Aptos" w:cs="Arial"/>
                <w:b/>
                <w:bCs/>
                <w:color w:val="000000"/>
                <w:sz w:val="20"/>
                <w:szCs w:val="20"/>
                <w:lang w:val="en-IE"/>
              </w:rPr>
              <w:t>Full name of person from whom the name is derived</w:t>
            </w:r>
          </w:p>
        </w:tc>
        <w:tc>
          <w:tcPr>
            <w:tcW w:w="1277" w:type="dxa"/>
          </w:tcPr>
          <w:p w14:paraId="25BDC740" w14:textId="77777777" w:rsidR="00EE11BD" w:rsidRDefault="00F70457">
            <w:pPr>
              <w:rPr>
                <w:rFonts w:ascii="Aptos" w:hAnsi="Aptos" w:cs="Arial"/>
                <w:color w:val="0000FF"/>
                <w:sz w:val="20"/>
                <w:szCs w:val="20"/>
                <w:lang w:val="en-IE"/>
              </w:rPr>
            </w:pPr>
            <w:r>
              <w:rPr>
                <w:rFonts w:ascii="Aptos" w:hAnsi="Aptos" w:cs="Arial"/>
                <w:b/>
                <w:bCs/>
                <w:color w:val="000000"/>
                <w:sz w:val="20"/>
                <w:szCs w:val="20"/>
                <w:lang w:val="en-IE"/>
              </w:rPr>
              <w:t xml:space="preserve">Attached </w:t>
            </w:r>
          </w:p>
        </w:tc>
      </w:tr>
      <w:tr w:rsidR="00EE11BD" w14:paraId="1FE8D464" w14:textId="77777777">
        <w:tc>
          <w:tcPr>
            <w:tcW w:w="2546" w:type="dxa"/>
            <w:vAlign w:val="center"/>
          </w:tcPr>
          <w:p w14:paraId="78BF4B84" w14:textId="77777777" w:rsidR="00EE11BD" w:rsidRDefault="00EE11BD">
            <w:pPr>
              <w:jc w:val="both"/>
              <w:rPr>
                <w:rFonts w:ascii="Aptos" w:hAnsi="Aptos" w:cs="Arial"/>
                <w:color w:val="000000" w:themeColor="text1"/>
                <w:sz w:val="20"/>
                <w:szCs w:val="20"/>
                <w:lang w:val="en-IE"/>
              </w:rPr>
            </w:pPr>
          </w:p>
        </w:tc>
        <w:tc>
          <w:tcPr>
            <w:tcW w:w="5103" w:type="dxa"/>
            <w:vAlign w:val="center"/>
          </w:tcPr>
          <w:p w14:paraId="5DC0F060" w14:textId="77777777" w:rsidR="00EE11BD" w:rsidRDefault="00EE11BD">
            <w:pPr>
              <w:jc w:val="both"/>
              <w:rPr>
                <w:rFonts w:ascii="Aptos" w:hAnsi="Aptos" w:cs="Arial"/>
                <w:color w:val="000000" w:themeColor="text1"/>
                <w:sz w:val="20"/>
                <w:szCs w:val="20"/>
                <w:lang w:val="en-IE"/>
              </w:rPr>
            </w:pPr>
          </w:p>
        </w:tc>
        <w:tc>
          <w:tcPr>
            <w:tcW w:w="1277" w:type="dxa"/>
            <w:vAlign w:val="center"/>
          </w:tcPr>
          <w:p w14:paraId="4DD28298" w14:textId="77777777" w:rsidR="00EE11BD" w:rsidRDefault="00EE11BD">
            <w:pPr>
              <w:jc w:val="both"/>
              <w:rPr>
                <w:rFonts w:ascii="Aptos" w:hAnsi="Aptos" w:cs="Arial"/>
                <w:color w:val="000000" w:themeColor="text1"/>
                <w:sz w:val="20"/>
                <w:szCs w:val="20"/>
                <w:lang w:val="en-IE"/>
              </w:rPr>
            </w:pPr>
          </w:p>
        </w:tc>
      </w:tr>
      <w:tr w:rsidR="00EE11BD" w14:paraId="61074F1A" w14:textId="77777777">
        <w:tc>
          <w:tcPr>
            <w:tcW w:w="2546" w:type="dxa"/>
            <w:vAlign w:val="center"/>
          </w:tcPr>
          <w:p w14:paraId="4228CBA2" w14:textId="77777777" w:rsidR="00EE11BD" w:rsidRDefault="00EE11BD">
            <w:pPr>
              <w:jc w:val="both"/>
              <w:rPr>
                <w:rFonts w:ascii="Aptos" w:hAnsi="Aptos" w:cs="Arial"/>
                <w:color w:val="000000" w:themeColor="text1"/>
                <w:sz w:val="20"/>
                <w:szCs w:val="20"/>
                <w:lang w:val="en-IE"/>
              </w:rPr>
            </w:pPr>
          </w:p>
        </w:tc>
        <w:tc>
          <w:tcPr>
            <w:tcW w:w="5103" w:type="dxa"/>
            <w:vAlign w:val="center"/>
          </w:tcPr>
          <w:p w14:paraId="3218CE62" w14:textId="77777777" w:rsidR="00EE11BD" w:rsidRDefault="00EE11BD">
            <w:pPr>
              <w:jc w:val="both"/>
              <w:rPr>
                <w:rFonts w:ascii="Aptos" w:hAnsi="Aptos" w:cs="Arial"/>
                <w:color w:val="000000" w:themeColor="text1"/>
                <w:sz w:val="20"/>
                <w:szCs w:val="20"/>
                <w:lang w:val="en-IE"/>
              </w:rPr>
            </w:pPr>
          </w:p>
        </w:tc>
        <w:tc>
          <w:tcPr>
            <w:tcW w:w="1277" w:type="dxa"/>
            <w:vAlign w:val="center"/>
          </w:tcPr>
          <w:p w14:paraId="7CB258D8" w14:textId="77777777" w:rsidR="00EE11BD" w:rsidRDefault="00EE11BD">
            <w:pPr>
              <w:jc w:val="both"/>
              <w:rPr>
                <w:rFonts w:ascii="Aptos" w:hAnsi="Aptos" w:cs="Arial"/>
                <w:color w:val="000000" w:themeColor="text1"/>
                <w:sz w:val="20"/>
                <w:szCs w:val="20"/>
                <w:lang w:val="en-IE"/>
              </w:rPr>
            </w:pPr>
          </w:p>
        </w:tc>
      </w:tr>
      <w:tr w:rsidR="00EE11BD" w14:paraId="7FDAAD12" w14:textId="77777777">
        <w:tc>
          <w:tcPr>
            <w:tcW w:w="2546" w:type="dxa"/>
            <w:vAlign w:val="center"/>
          </w:tcPr>
          <w:p w14:paraId="7072835E" w14:textId="77777777" w:rsidR="00EE11BD" w:rsidRDefault="00EE11BD">
            <w:pPr>
              <w:jc w:val="both"/>
              <w:rPr>
                <w:rFonts w:ascii="Aptos" w:hAnsi="Aptos" w:cs="Arial"/>
                <w:color w:val="000000" w:themeColor="text1"/>
                <w:sz w:val="20"/>
                <w:szCs w:val="20"/>
                <w:lang w:val="en-IE"/>
              </w:rPr>
            </w:pPr>
          </w:p>
        </w:tc>
        <w:tc>
          <w:tcPr>
            <w:tcW w:w="5103" w:type="dxa"/>
            <w:vAlign w:val="center"/>
          </w:tcPr>
          <w:p w14:paraId="74268EB4" w14:textId="77777777" w:rsidR="00EE11BD" w:rsidRDefault="00EE11BD">
            <w:pPr>
              <w:jc w:val="both"/>
              <w:rPr>
                <w:rFonts w:ascii="Aptos" w:hAnsi="Aptos" w:cs="Arial"/>
                <w:color w:val="000000" w:themeColor="text1"/>
                <w:sz w:val="20"/>
                <w:szCs w:val="20"/>
                <w:lang w:val="en-IE"/>
              </w:rPr>
            </w:pPr>
          </w:p>
        </w:tc>
        <w:tc>
          <w:tcPr>
            <w:tcW w:w="1277" w:type="dxa"/>
            <w:vAlign w:val="center"/>
          </w:tcPr>
          <w:p w14:paraId="063D7C6A" w14:textId="77777777" w:rsidR="00EE11BD" w:rsidRDefault="00EE11BD">
            <w:pPr>
              <w:jc w:val="both"/>
              <w:rPr>
                <w:rFonts w:ascii="Aptos" w:hAnsi="Aptos" w:cs="Arial"/>
                <w:color w:val="000000" w:themeColor="text1"/>
                <w:sz w:val="20"/>
                <w:szCs w:val="20"/>
                <w:lang w:val="en-IE"/>
              </w:rPr>
            </w:pPr>
          </w:p>
        </w:tc>
      </w:tr>
      <w:tr w:rsidR="00EE11BD" w14:paraId="08085ED5" w14:textId="77777777">
        <w:tc>
          <w:tcPr>
            <w:tcW w:w="2546" w:type="dxa"/>
            <w:vAlign w:val="center"/>
          </w:tcPr>
          <w:p w14:paraId="032E7F15" w14:textId="77777777" w:rsidR="00EE11BD" w:rsidRDefault="00EE11BD">
            <w:pPr>
              <w:jc w:val="both"/>
              <w:rPr>
                <w:rFonts w:ascii="Aptos" w:hAnsi="Aptos" w:cs="Arial"/>
                <w:color w:val="000000" w:themeColor="text1"/>
                <w:sz w:val="20"/>
                <w:szCs w:val="20"/>
                <w:lang w:val="en-IE"/>
              </w:rPr>
            </w:pPr>
          </w:p>
        </w:tc>
        <w:tc>
          <w:tcPr>
            <w:tcW w:w="5103" w:type="dxa"/>
            <w:vAlign w:val="center"/>
          </w:tcPr>
          <w:p w14:paraId="29CDFFB4" w14:textId="77777777" w:rsidR="00EE11BD" w:rsidRDefault="00EE11BD">
            <w:pPr>
              <w:jc w:val="both"/>
              <w:rPr>
                <w:rFonts w:ascii="Aptos" w:hAnsi="Aptos" w:cs="Arial"/>
                <w:color w:val="000000" w:themeColor="text1"/>
                <w:sz w:val="20"/>
                <w:szCs w:val="20"/>
                <w:lang w:val="en-IE"/>
              </w:rPr>
            </w:pPr>
          </w:p>
        </w:tc>
        <w:tc>
          <w:tcPr>
            <w:tcW w:w="1277" w:type="dxa"/>
            <w:vAlign w:val="center"/>
          </w:tcPr>
          <w:p w14:paraId="5ED76346" w14:textId="77777777" w:rsidR="00EE11BD" w:rsidRDefault="00EE11BD">
            <w:pPr>
              <w:jc w:val="both"/>
              <w:rPr>
                <w:rFonts w:ascii="Aptos" w:hAnsi="Aptos" w:cs="Arial"/>
                <w:color w:val="000000" w:themeColor="text1"/>
                <w:sz w:val="20"/>
                <w:szCs w:val="20"/>
                <w:lang w:val="en-IE"/>
              </w:rPr>
            </w:pPr>
          </w:p>
        </w:tc>
      </w:tr>
    </w:tbl>
    <w:p w14:paraId="442AC228" w14:textId="77777777" w:rsidR="00EE11BD" w:rsidRDefault="00EE11BD">
      <w:pPr>
        <w:rPr>
          <w:rFonts w:ascii="Aptos" w:hAnsi="Aptos" w:cs="Arial"/>
          <w:color w:val="0000FF"/>
          <w:sz w:val="20"/>
          <w:szCs w:val="20"/>
          <w:lang w:val="en-IE"/>
        </w:rPr>
      </w:pPr>
    </w:p>
    <w:p w14:paraId="37675BE3" w14:textId="77777777" w:rsidR="00EE11BD" w:rsidRDefault="00F70457">
      <w:pPr>
        <w:rPr>
          <w:rFonts w:ascii="Aptos" w:hAnsi="Aptos" w:cs="Arial"/>
          <w:color w:val="0000FF"/>
          <w:sz w:val="20"/>
          <w:szCs w:val="20"/>
          <w:lang w:val="en-IE"/>
        </w:rPr>
      </w:pPr>
      <w:r>
        <w:br w:type="page"/>
      </w:r>
    </w:p>
    <w:p w14:paraId="133CE7C3" w14:textId="77777777" w:rsidR="00EE11BD" w:rsidRDefault="00EE11BD">
      <w:pPr>
        <w:rPr>
          <w:rFonts w:ascii="Aptos" w:hAnsi="Aptos" w:cs="Arial"/>
          <w:color w:val="0000FF"/>
          <w:sz w:val="20"/>
          <w:szCs w:val="20"/>
          <w:lang w:val="en-IE"/>
        </w:rPr>
      </w:pPr>
    </w:p>
    <w:tbl>
      <w:tblPr>
        <w:tblStyle w:val="TableGrid"/>
        <w:tblW w:w="8926" w:type="dxa"/>
        <w:tblLayout w:type="fixed"/>
        <w:tblLook w:val="04A0" w:firstRow="1" w:lastRow="0" w:firstColumn="1" w:lastColumn="0" w:noHBand="0" w:noVBand="1"/>
      </w:tblPr>
      <w:tblGrid>
        <w:gridCol w:w="8926"/>
      </w:tblGrid>
      <w:tr w:rsidR="00EE11BD" w14:paraId="1EB4D936" w14:textId="77777777">
        <w:tc>
          <w:tcPr>
            <w:tcW w:w="8926" w:type="dxa"/>
            <w:shd w:val="clear" w:color="auto" w:fill="F2F2F2" w:themeFill="background1" w:themeFillShade="F2"/>
          </w:tcPr>
          <w:p w14:paraId="2293E494" w14:textId="77777777" w:rsidR="00EE11BD" w:rsidRDefault="00F70457">
            <w:pPr>
              <w:rPr>
                <w:rFonts w:ascii="Aptos" w:hAnsi="Aptos" w:cs="Arial"/>
                <w:color w:val="0000FF"/>
                <w:sz w:val="20"/>
                <w:szCs w:val="20"/>
                <w:lang w:val="en-IE"/>
              </w:rPr>
            </w:pPr>
            <w:r>
              <w:rPr>
                <w:rFonts w:ascii="Aptos" w:hAnsi="Aptos" w:cs="Arial"/>
                <w:b/>
                <w:sz w:val="20"/>
                <w:szCs w:val="20"/>
                <w:lang w:val="en-IE"/>
              </w:rPr>
              <w:t xml:space="preserve">Abstract of Taxonomy Proposal: </w:t>
            </w:r>
          </w:p>
        </w:tc>
      </w:tr>
      <w:tr w:rsidR="00EE11BD" w14:paraId="2C56245D" w14:textId="77777777">
        <w:tc>
          <w:tcPr>
            <w:tcW w:w="8926" w:type="dxa"/>
          </w:tcPr>
          <w:p w14:paraId="1AFD9F1F" w14:textId="77777777" w:rsidR="00EE11BD" w:rsidRDefault="00EE11BD">
            <w:pPr>
              <w:rPr>
                <w:rFonts w:ascii="Aptos" w:hAnsi="Aptos" w:cs="Arial"/>
                <w:b/>
                <w:i/>
                <w:sz w:val="20"/>
                <w:szCs w:val="20"/>
                <w:lang w:val="en-IE"/>
              </w:rPr>
            </w:pPr>
          </w:p>
          <w:p w14:paraId="0ECE2C13" w14:textId="77777777" w:rsidR="00EE11BD" w:rsidRDefault="00F70457">
            <w:pPr>
              <w:rPr>
                <w:rFonts w:ascii="Aptos" w:hAnsi="Aptos" w:cs="Arial"/>
                <w:sz w:val="20"/>
                <w:szCs w:val="20"/>
                <w:lang w:val="en-IE"/>
              </w:rPr>
            </w:pPr>
            <w:r>
              <w:rPr>
                <w:rFonts w:ascii="Aptos" w:hAnsi="Aptos" w:cs="Arial"/>
                <w:i/>
                <w:iCs/>
                <w:sz w:val="20"/>
                <w:szCs w:val="20"/>
                <w:lang w:val="en-IE"/>
              </w:rPr>
              <w:t>Taxonomic rank(s) affected</w:t>
            </w:r>
            <w:r>
              <w:rPr>
                <w:rFonts w:ascii="Aptos" w:hAnsi="Aptos" w:cs="Arial"/>
                <w:sz w:val="20"/>
                <w:szCs w:val="20"/>
                <w:lang w:val="en-IE"/>
              </w:rPr>
              <w:t xml:space="preserve">:       </w:t>
            </w:r>
          </w:p>
          <w:p w14:paraId="167D9724" w14:textId="3BCF2788" w:rsidR="00EE11BD" w:rsidRPr="002837B7" w:rsidRDefault="002837B7">
            <w:pPr>
              <w:rPr>
                <w:rFonts w:ascii="Aptos" w:hAnsi="Aptos" w:cs="Arial"/>
                <w:sz w:val="20"/>
                <w:szCs w:val="20"/>
                <w:lang w:val="en-IE"/>
              </w:rPr>
            </w:pPr>
            <w:r>
              <w:rPr>
                <w:rFonts w:ascii="Aptos" w:hAnsi="Aptos" w:cs="Arial"/>
                <w:sz w:val="20"/>
                <w:szCs w:val="20"/>
                <w:lang w:val="en-IE"/>
              </w:rPr>
              <w:t>Order, family, subfamily, genus, species</w:t>
            </w:r>
          </w:p>
          <w:p w14:paraId="6B1C096E" w14:textId="77777777" w:rsidR="00EE11BD" w:rsidRDefault="00EE11BD">
            <w:pPr>
              <w:rPr>
                <w:rFonts w:ascii="Aptos" w:hAnsi="Aptos" w:cs="Arial"/>
                <w:sz w:val="20"/>
                <w:szCs w:val="20"/>
                <w:lang w:val="en-IE"/>
              </w:rPr>
            </w:pPr>
          </w:p>
          <w:p w14:paraId="2DA2BA7F" w14:textId="77777777" w:rsidR="00EE11BD" w:rsidRDefault="00F70457">
            <w:pPr>
              <w:rPr>
                <w:rFonts w:ascii="Aptos" w:hAnsi="Aptos" w:cs="Arial"/>
                <w:sz w:val="20"/>
                <w:szCs w:val="20"/>
                <w:lang w:val="en-IE"/>
              </w:rPr>
            </w:pPr>
            <w:r>
              <w:rPr>
                <w:rFonts w:ascii="Aptos" w:hAnsi="Aptos" w:cs="Arial"/>
                <w:i/>
                <w:sz w:val="20"/>
                <w:szCs w:val="20"/>
                <w:lang w:val="en-IE"/>
              </w:rPr>
              <w:t>Description of current taxonomy</w:t>
            </w:r>
            <w:r>
              <w:rPr>
                <w:rFonts w:ascii="Aptos" w:hAnsi="Aptos" w:cs="Arial"/>
                <w:sz w:val="20"/>
                <w:szCs w:val="20"/>
                <w:lang w:val="en-IE"/>
              </w:rPr>
              <w:t xml:space="preserve">:       </w:t>
            </w:r>
          </w:p>
          <w:p w14:paraId="56D96597" w14:textId="77777777" w:rsidR="00EE11BD" w:rsidRDefault="00F70457">
            <w:pPr>
              <w:rPr>
                <w:rFonts w:ascii="Aptos" w:hAnsi="Aptos" w:cs="Arial"/>
                <w:sz w:val="20"/>
                <w:szCs w:val="20"/>
                <w:lang w:val="en-IE"/>
              </w:rPr>
            </w:pP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was established under taxonomic proposal 2021.022B</w:t>
            </w:r>
          </w:p>
          <w:p w14:paraId="6D1B2852" w14:textId="77777777" w:rsidR="00EE11BD" w:rsidRDefault="00EE11BD">
            <w:pPr>
              <w:rPr>
                <w:rFonts w:ascii="Aptos" w:hAnsi="Aptos" w:cs="Arial"/>
                <w:sz w:val="20"/>
                <w:szCs w:val="20"/>
                <w:lang w:val="en-IE"/>
              </w:rPr>
            </w:pPr>
          </w:p>
          <w:p w14:paraId="45E6C328" w14:textId="77777777" w:rsidR="00EE11BD" w:rsidRDefault="00EE11BD">
            <w:pPr>
              <w:rPr>
                <w:rFonts w:ascii="Aptos" w:hAnsi="Aptos" w:cs="Arial"/>
                <w:sz w:val="20"/>
                <w:szCs w:val="20"/>
                <w:lang w:val="en-IE"/>
              </w:rPr>
            </w:pPr>
          </w:p>
          <w:p w14:paraId="40D9A8A1" w14:textId="77777777" w:rsidR="00EE11BD" w:rsidRDefault="00EE11BD">
            <w:pPr>
              <w:rPr>
                <w:rFonts w:ascii="Aptos" w:hAnsi="Aptos" w:cs="Arial"/>
                <w:sz w:val="20"/>
                <w:szCs w:val="20"/>
                <w:lang w:val="en-IE"/>
              </w:rPr>
            </w:pPr>
          </w:p>
          <w:p w14:paraId="7926ECD2" w14:textId="77777777" w:rsidR="00EE11BD" w:rsidRDefault="00F70457">
            <w:pPr>
              <w:rPr>
                <w:rFonts w:ascii="Aptos" w:hAnsi="Aptos" w:cs="Arial"/>
                <w:sz w:val="20"/>
                <w:szCs w:val="20"/>
                <w:lang w:val="en-IE"/>
              </w:rPr>
            </w:pPr>
            <w:r>
              <w:rPr>
                <w:rFonts w:ascii="Aptos" w:hAnsi="Aptos" w:cs="Arial"/>
                <w:i/>
                <w:sz w:val="20"/>
                <w:szCs w:val="20"/>
                <w:lang w:val="en-IE"/>
              </w:rPr>
              <w:t>Proposed</w:t>
            </w:r>
            <w:r>
              <w:rPr>
                <w:rFonts w:ascii="Aptos" w:hAnsi="Aptos" w:cs="Arial"/>
                <w:sz w:val="20"/>
                <w:szCs w:val="20"/>
                <w:lang w:val="en-IE"/>
              </w:rPr>
              <w:t xml:space="preserve"> </w:t>
            </w:r>
            <w:r>
              <w:rPr>
                <w:rFonts w:ascii="Aptos" w:hAnsi="Aptos" w:cs="Arial"/>
                <w:i/>
                <w:sz w:val="20"/>
                <w:szCs w:val="20"/>
                <w:lang w:val="en-IE"/>
              </w:rPr>
              <w:t>taxonomic change(s):</w:t>
            </w:r>
            <w:r>
              <w:rPr>
                <w:rFonts w:ascii="Aptos" w:hAnsi="Aptos" w:cs="Arial"/>
                <w:sz w:val="20"/>
                <w:szCs w:val="20"/>
                <w:lang w:val="en-IE"/>
              </w:rPr>
              <w:t xml:space="preserve">     </w:t>
            </w:r>
          </w:p>
          <w:p w14:paraId="6558274D" w14:textId="77777777" w:rsidR="00EE11BD" w:rsidRDefault="00F70457">
            <w:pPr>
              <w:rPr>
                <w:rFonts w:ascii="Aptos" w:hAnsi="Aptos" w:cs="Arial"/>
                <w:sz w:val="20"/>
                <w:szCs w:val="20"/>
                <w:lang w:val="en-IE"/>
              </w:rPr>
            </w:pPr>
            <w:r>
              <w:rPr>
                <w:rFonts w:ascii="Aptos" w:hAnsi="Aptos" w:cs="Arial"/>
                <w:sz w:val="20"/>
                <w:szCs w:val="20"/>
                <w:lang w:val="en-IE"/>
              </w:rPr>
              <w:t>We propose:</w:t>
            </w:r>
          </w:p>
          <w:p w14:paraId="01E8AE49"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establishment of demarcation criteria for the order </w:t>
            </w:r>
            <w:proofErr w:type="spellStart"/>
            <w:r>
              <w:rPr>
                <w:rFonts w:ascii="Aptos" w:hAnsi="Aptos" w:cs="Arial"/>
                <w:i/>
                <w:iCs/>
                <w:sz w:val="20"/>
                <w:szCs w:val="20"/>
                <w:lang w:val="en-IE"/>
              </w:rPr>
              <w:t>Crassvirales</w:t>
            </w:r>
            <w:proofErr w:type="spellEnd"/>
          </w:p>
          <w:p w14:paraId="5672DCEB" w14:textId="23791E2F"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establishment of the order </w:t>
            </w:r>
            <w:proofErr w:type="spellStart"/>
            <w:r>
              <w:rPr>
                <w:rFonts w:ascii="Aptos" w:hAnsi="Aptos" w:cs="Arial"/>
                <w:i/>
                <w:iCs/>
                <w:sz w:val="20"/>
                <w:szCs w:val="20"/>
                <w:lang w:val="en-IE"/>
              </w:rPr>
              <w:t>Paracrassvirales</w:t>
            </w:r>
            <w:proofErr w:type="spellEnd"/>
            <w:r>
              <w:rPr>
                <w:rFonts w:ascii="Aptos" w:hAnsi="Aptos" w:cs="Arial"/>
                <w:i/>
                <w:iCs/>
                <w:sz w:val="20"/>
                <w:szCs w:val="20"/>
                <w:lang w:val="en-IE"/>
              </w:rPr>
              <w:t xml:space="preserve"> </w:t>
            </w:r>
            <w:r>
              <w:rPr>
                <w:rFonts w:ascii="Aptos" w:hAnsi="Aptos" w:cs="Arial"/>
                <w:sz w:val="20"/>
                <w:szCs w:val="20"/>
                <w:lang w:val="en-IE"/>
              </w:rPr>
              <w:t xml:space="preserve">containing one </w:t>
            </w:r>
            <w:r w:rsidR="002837B7">
              <w:rPr>
                <w:rFonts w:ascii="Aptos" w:hAnsi="Aptos" w:cs="Arial"/>
                <w:sz w:val="20"/>
                <w:szCs w:val="20"/>
                <w:lang w:val="en-IE"/>
              </w:rPr>
              <w:t>new</w:t>
            </w:r>
            <w:r>
              <w:rPr>
                <w:rFonts w:ascii="Aptos" w:hAnsi="Aptos" w:cs="Arial"/>
                <w:sz w:val="20"/>
                <w:szCs w:val="20"/>
                <w:lang w:val="en-IE"/>
              </w:rPr>
              <w:t xml:space="preserve"> family</w:t>
            </w:r>
          </w:p>
          <w:p w14:paraId="0F91F845" w14:textId="4B3BD879"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establishment of the order </w:t>
            </w:r>
            <w:proofErr w:type="spellStart"/>
            <w:r>
              <w:rPr>
                <w:rFonts w:ascii="Aptos" w:hAnsi="Aptos" w:cs="Arial"/>
                <w:i/>
                <w:iCs/>
                <w:sz w:val="20"/>
                <w:szCs w:val="20"/>
                <w:lang w:val="en-IE"/>
              </w:rPr>
              <w:t>Metacrassvirales</w:t>
            </w:r>
            <w:proofErr w:type="spellEnd"/>
            <w:r>
              <w:rPr>
                <w:rFonts w:ascii="Aptos" w:hAnsi="Aptos" w:cs="Arial"/>
                <w:sz w:val="20"/>
                <w:szCs w:val="20"/>
                <w:lang w:val="en-IE"/>
              </w:rPr>
              <w:t xml:space="preserve"> containing one </w:t>
            </w:r>
            <w:r w:rsidR="002837B7">
              <w:rPr>
                <w:rFonts w:ascii="Aptos" w:hAnsi="Aptos" w:cs="Arial"/>
                <w:sz w:val="20"/>
                <w:szCs w:val="20"/>
                <w:lang w:val="en-IE"/>
              </w:rPr>
              <w:t>new</w:t>
            </w:r>
            <w:r>
              <w:rPr>
                <w:rFonts w:ascii="Aptos" w:hAnsi="Aptos" w:cs="Arial"/>
                <w:sz w:val="20"/>
                <w:szCs w:val="20"/>
                <w:lang w:val="en-IE"/>
              </w:rPr>
              <w:t xml:space="preserve"> family</w:t>
            </w:r>
          </w:p>
          <w:p w14:paraId="6DEE31D3"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adjustment of demarcation criteria for families within </w:t>
            </w:r>
            <w:proofErr w:type="spellStart"/>
            <w:r>
              <w:rPr>
                <w:rFonts w:ascii="Aptos" w:hAnsi="Aptos" w:cs="Arial"/>
                <w:i/>
                <w:iCs/>
                <w:sz w:val="20"/>
                <w:szCs w:val="20"/>
                <w:lang w:val="en-IE"/>
              </w:rPr>
              <w:t>Crassvirales</w:t>
            </w:r>
            <w:proofErr w:type="spellEnd"/>
          </w:p>
          <w:p w14:paraId="65FA65C9"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creation of one new family within </w:t>
            </w:r>
            <w:proofErr w:type="spellStart"/>
            <w:r>
              <w:rPr>
                <w:rFonts w:ascii="Aptos" w:hAnsi="Aptos" w:cs="Arial"/>
                <w:i/>
                <w:iCs/>
                <w:sz w:val="20"/>
                <w:szCs w:val="20"/>
                <w:lang w:val="en-IE"/>
              </w:rPr>
              <w:t>Crassvirales</w:t>
            </w:r>
            <w:proofErr w:type="spellEnd"/>
          </w:p>
          <w:p w14:paraId="521FACDB"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moving and renaming of one genus within </w:t>
            </w:r>
            <w:proofErr w:type="spellStart"/>
            <w:r>
              <w:rPr>
                <w:rFonts w:ascii="Aptos" w:hAnsi="Aptos" w:cs="Arial"/>
                <w:i/>
                <w:iCs/>
                <w:sz w:val="20"/>
                <w:szCs w:val="20"/>
                <w:lang w:val="en-IE"/>
              </w:rPr>
              <w:t>Crassvirales</w:t>
            </w:r>
            <w:proofErr w:type="spellEnd"/>
          </w:p>
          <w:p w14:paraId="2437296C"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adjustment of demarcation criteria for subfamilies within </w:t>
            </w:r>
            <w:proofErr w:type="spellStart"/>
            <w:r>
              <w:rPr>
                <w:rFonts w:ascii="Aptos" w:hAnsi="Aptos" w:cs="Arial"/>
                <w:i/>
                <w:iCs/>
                <w:sz w:val="20"/>
                <w:szCs w:val="20"/>
                <w:lang w:val="en-IE"/>
              </w:rPr>
              <w:t>Crassvirales</w:t>
            </w:r>
            <w:proofErr w:type="spellEnd"/>
          </w:p>
          <w:p w14:paraId="733CE23B"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adjustment of demarcation criteria for genera within </w:t>
            </w: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to reflect ICTV guidelines</w:t>
            </w:r>
          </w:p>
          <w:p w14:paraId="01BFF503"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The creation of 38 new genera</w:t>
            </w:r>
          </w:p>
          <w:p w14:paraId="3C272611"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 xml:space="preserve">The adjustment of demarcation criteria for species within </w:t>
            </w: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to reflect ICTV guidelines</w:t>
            </w:r>
          </w:p>
          <w:p w14:paraId="44EC39F0" w14:textId="77777777" w:rsidR="00EE11BD" w:rsidRDefault="00F70457">
            <w:pPr>
              <w:pStyle w:val="ListParagraph"/>
              <w:numPr>
                <w:ilvl w:val="0"/>
                <w:numId w:val="1"/>
              </w:numPr>
              <w:rPr>
                <w:rFonts w:ascii="Aptos" w:hAnsi="Aptos" w:cs="Arial"/>
                <w:sz w:val="20"/>
                <w:szCs w:val="20"/>
                <w:lang w:val="en-IE"/>
              </w:rPr>
            </w:pPr>
            <w:r>
              <w:rPr>
                <w:rFonts w:ascii="Aptos" w:hAnsi="Aptos" w:cs="Arial"/>
                <w:sz w:val="20"/>
                <w:szCs w:val="20"/>
                <w:lang w:val="en-IE"/>
              </w:rPr>
              <w:t>The creation of 99 new species</w:t>
            </w:r>
          </w:p>
          <w:p w14:paraId="35777BEA" w14:textId="77777777" w:rsidR="00EE11BD" w:rsidRDefault="00EE11BD">
            <w:pPr>
              <w:rPr>
                <w:rFonts w:ascii="Aptos" w:hAnsi="Aptos" w:cs="Arial"/>
                <w:sz w:val="20"/>
                <w:szCs w:val="20"/>
                <w:lang w:val="en-IE"/>
              </w:rPr>
            </w:pPr>
          </w:p>
          <w:p w14:paraId="43D97DAD" w14:textId="77777777" w:rsidR="00EE11BD" w:rsidRDefault="00EE11BD">
            <w:pPr>
              <w:rPr>
                <w:rFonts w:ascii="Aptos" w:hAnsi="Aptos" w:cs="Arial"/>
                <w:sz w:val="20"/>
                <w:szCs w:val="20"/>
                <w:lang w:val="en-IE"/>
              </w:rPr>
            </w:pPr>
          </w:p>
          <w:p w14:paraId="09B71C22" w14:textId="77777777" w:rsidR="00EE11BD" w:rsidRDefault="00F70457">
            <w:pPr>
              <w:pStyle w:val="BodyTextIndent"/>
              <w:ind w:left="0" w:firstLine="0"/>
              <w:rPr>
                <w:rFonts w:ascii="Aptos" w:hAnsi="Aptos" w:cs="Arial"/>
                <w:sz w:val="20"/>
                <w:lang w:val="en-IE"/>
              </w:rPr>
            </w:pPr>
            <w:r>
              <w:rPr>
                <w:rFonts w:ascii="Aptos" w:hAnsi="Aptos" w:cs="Arial"/>
                <w:i/>
                <w:sz w:val="20"/>
                <w:lang w:val="en-IE"/>
              </w:rPr>
              <w:t>Justification</w:t>
            </w:r>
            <w:r>
              <w:rPr>
                <w:rFonts w:ascii="Aptos" w:hAnsi="Aptos" w:cs="Arial"/>
                <w:sz w:val="20"/>
                <w:lang w:val="en-IE"/>
              </w:rPr>
              <w:t>:</w:t>
            </w:r>
          </w:p>
          <w:p w14:paraId="50BF065D" w14:textId="0EC7E7AF" w:rsidR="00EE11BD" w:rsidRDefault="00323E7D">
            <w:pPr>
              <w:rPr>
                <w:rFonts w:ascii="Aptos" w:hAnsi="Aptos" w:cs="Arial"/>
                <w:sz w:val="20"/>
                <w:szCs w:val="20"/>
                <w:lang w:val="en-IE"/>
              </w:rPr>
            </w:pPr>
            <w:r>
              <w:rPr>
                <w:rFonts w:ascii="Aptos" w:hAnsi="Aptos" w:cs="Arial"/>
                <w:sz w:val="20"/>
                <w:szCs w:val="20"/>
                <w:lang w:val="en-IE"/>
              </w:rPr>
              <w:t xml:space="preserve">Currently, </w:t>
            </w: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lacks demarcation criteria. The existing criteria within </w:t>
            </w: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are ambiguous, unintuitive and based on outdated methods and results. </w:t>
            </w:r>
            <w:r w:rsidR="00F70457">
              <w:rPr>
                <w:rFonts w:ascii="Aptos" w:hAnsi="Aptos" w:cs="Arial"/>
                <w:sz w:val="20"/>
                <w:szCs w:val="20"/>
                <w:lang w:val="en-IE"/>
              </w:rPr>
              <w:t>Phylogenetic trees utilizing structural and maximum likelihood approaches based on marker genes reveal the formation of unique clades that align with the proposed orders and support the proposed changes to family, genus and species demarcation criteria.</w:t>
            </w:r>
          </w:p>
          <w:p w14:paraId="4B63F899" w14:textId="77777777" w:rsidR="00EE11BD" w:rsidRDefault="00EE11BD">
            <w:pPr>
              <w:pStyle w:val="BodyTextIndent"/>
              <w:ind w:left="0" w:firstLine="0"/>
              <w:rPr>
                <w:rFonts w:ascii="Aptos" w:hAnsi="Aptos" w:cs="Arial"/>
                <w:color w:val="000000"/>
                <w:sz w:val="20"/>
                <w:lang w:val="en-IE"/>
              </w:rPr>
            </w:pPr>
          </w:p>
          <w:p w14:paraId="5544E51D" w14:textId="77777777" w:rsidR="00EE11BD" w:rsidRDefault="00EE11BD">
            <w:pPr>
              <w:rPr>
                <w:rFonts w:ascii="Aptos" w:hAnsi="Aptos" w:cs="Arial"/>
                <w:color w:val="0000FF"/>
                <w:sz w:val="20"/>
                <w:szCs w:val="20"/>
                <w:lang w:val="en-IE"/>
              </w:rPr>
            </w:pPr>
          </w:p>
          <w:p w14:paraId="4F167A14" w14:textId="77777777" w:rsidR="00EE11BD" w:rsidRDefault="00EE11BD">
            <w:pPr>
              <w:rPr>
                <w:rFonts w:ascii="Aptos" w:hAnsi="Aptos" w:cs="Arial"/>
                <w:color w:val="0000FF"/>
                <w:sz w:val="20"/>
                <w:szCs w:val="20"/>
                <w:lang w:val="en-IE"/>
              </w:rPr>
            </w:pPr>
          </w:p>
        </w:tc>
      </w:tr>
      <w:tr w:rsidR="00EE11BD" w14:paraId="2EB319EA" w14:textId="77777777">
        <w:tc>
          <w:tcPr>
            <w:tcW w:w="8926" w:type="dxa"/>
          </w:tcPr>
          <w:p w14:paraId="7FBDC81E" w14:textId="77777777" w:rsidR="00EE11BD" w:rsidRDefault="00EE11BD">
            <w:pPr>
              <w:rPr>
                <w:rFonts w:ascii="Aptos" w:hAnsi="Aptos" w:cs="Arial"/>
                <w:b/>
                <w:i/>
                <w:sz w:val="20"/>
                <w:szCs w:val="20"/>
                <w:lang w:val="en-IE"/>
              </w:rPr>
            </w:pPr>
          </w:p>
        </w:tc>
      </w:tr>
    </w:tbl>
    <w:p w14:paraId="27F5F8F5" w14:textId="77777777" w:rsidR="00EE11BD" w:rsidRDefault="00EE11BD">
      <w:pPr>
        <w:rPr>
          <w:rFonts w:ascii="Aptos" w:hAnsi="Aptos" w:cs="Arial"/>
          <w:color w:val="0000FF"/>
          <w:sz w:val="20"/>
          <w:szCs w:val="20"/>
          <w:lang w:val="en-IE"/>
        </w:rPr>
      </w:pPr>
    </w:p>
    <w:tbl>
      <w:tblPr>
        <w:tblStyle w:val="TableGrid"/>
        <w:tblW w:w="8926" w:type="dxa"/>
        <w:tblLayout w:type="fixed"/>
        <w:tblLook w:val="04A0" w:firstRow="1" w:lastRow="0" w:firstColumn="1" w:lastColumn="0" w:noHBand="0" w:noVBand="1"/>
      </w:tblPr>
      <w:tblGrid>
        <w:gridCol w:w="8926"/>
      </w:tblGrid>
      <w:tr w:rsidR="00EE11BD" w14:paraId="2A4AF030" w14:textId="77777777">
        <w:tc>
          <w:tcPr>
            <w:tcW w:w="8926" w:type="dxa"/>
            <w:shd w:val="clear" w:color="auto" w:fill="F2F2F2" w:themeFill="background1" w:themeFillShade="F2"/>
          </w:tcPr>
          <w:p w14:paraId="225C8567" w14:textId="77777777" w:rsidR="00EE11BD" w:rsidRDefault="00F70457">
            <w:pPr>
              <w:pStyle w:val="BodyTextIndent"/>
              <w:ind w:left="0" w:firstLine="0"/>
              <w:rPr>
                <w:rFonts w:ascii="Aptos" w:hAnsi="Aptos" w:cs="Arial"/>
                <w:b/>
                <w:sz w:val="20"/>
                <w:lang w:val="en-IE"/>
              </w:rPr>
            </w:pPr>
            <w:r>
              <w:rPr>
                <w:rFonts w:ascii="Aptos" w:hAnsi="Aptos" w:cs="Arial"/>
                <w:b/>
                <w:color w:val="000000"/>
                <w:sz w:val="20"/>
                <w:lang w:val="en-IE"/>
              </w:rPr>
              <w:t>Text of Taxonomy proposal:</w:t>
            </w:r>
          </w:p>
          <w:p w14:paraId="52769550" w14:textId="77777777" w:rsidR="00EE11BD" w:rsidRDefault="00EE11BD">
            <w:pPr>
              <w:pStyle w:val="BodyTextIndent"/>
              <w:ind w:left="720" w:firstLine="0"/>
              <w:rPr>
                <w:rFonts w:ascii="Aptos" w:hAnsi="Aptos" w:cs="Arial"/>
                <w:color w:val="0000FF"/>
                <w:sz w:val="20"/>
                <w:lang w:val="en-IE"/>
              </w:rPr>
            </w:pPr>
          </w:p>
        </w:tc>
      </w:tr>
    </w:tbl>
    <w:p w14:paraId="17ED17EA" w14:textId="77777777" w:rsidR="00EE11BD" w:rsidRDefault="00F70457">
      <w:pPr>
        <w:rPr>
          <w:lang w:val="en-IE"/>
        </w:rPr>
      </w:pPr>
      <w:r>
        <w:br w:type="page"/>
      </w:r>
    </w:p>
    <w:tbl>
      <w:tblPr>
        <w:tblStyle w:val="TableGrid"/>
        <w:tblW w:w="8926" w:type="dxa"/>
        <w:tblLayout w:type="fixed"/>
        <w:tblLook w:val="04A0" w:firstRow="1" w:lastRow="0" w:firstColumn="1" w:lastColumn="0" w:noHBand="0" w:noVBand="1"/>
      </w:tblPr>
      <w:tblGrid>
        <w:gridCol w:w="8926"/>
      </w:tblGrid>
      <w:tr w:rsidR="00EE11BD" w14:paraId="5A8835D5" w14:textId="77777777">
        <w:tc>
          <w:tcPr>
            <w:tcW w:w="8926" w:type="dxa"/>
          </w:tcPr>
          <w:p w14:paraId="7DBB2181" w14:textId="77777777" w:rsidR="00EE11BD" w:rsidRDefault="00EE11BD">
            <w:pPr>
              <w:pageBreakBefore/>
              <w:rPr>
                <w:rFonts w:ascii="Aptos" w:hAnsi="Aptos" w:cs="Arial"/>
                <w:b/>
                <w:i/>
                <w:sz w:val="20"/>
                <w:szCs w:val="20"/>
                <w:lang w:val="en-IE"/>
              </w:rPr>
            </w:pPr>
          </w:p>
          <w:p w14:paraId="0F01463B" w14:textId="77777777" w:rsidR="00EE11BD" w:rsidRDefault="00F70457">
            <w:pPr>
              <w:rPr>
                <w:rFonts w:ascii="Aptos" w:hAnsi="Aptos" w:cs="Arial"/>
                <w:sz w:val="20"/>
                <w:szCs w:val="20"/>
                <w:lang w:val="en-IE"/>
              </w:rPr>
            </w:pPr>
            <w:r>
              <w:rPr>
                <w:rFonts w:ascii="Aptos" w:hAnsi="Aptos" w:cs="Arial"/>
                <w:i/>
                <w:iCs/>
                <w:sz w:val="20"/>
                <w:szCs w:val="20"/>
                <w:lang w:val="en-IE"/>
              </w:rPr>
              <w:t xml:space="preserve">Taxonomic rank(s) affected:       </w:t>
            </w:r>
            <w:r>
              <w:rPr>
                <w:rFonts w:ascii="Aptos" w:hAnsi="Aptos" w:cs="Arial"/>
                <w:sz w:val="20"/>
                <w:szCs w:val="20"/>
                <w:lang w:val="en-IE"/>
              </w:rPr>
              <w:t xml:space="preserve">     </w:t>
            </w:r>
          </w:p>
          <w:p w14:paraId="64E23EF8" w14:textId="77777777" w:rsidR="002837B7" w:rsidRPr="002837B7" w:rsidRDefault="002837B7" w:rsidP="002837B7">
            <w:pPr>
              <w:rPr>
                <w:rFonts w:ascii="Aptos" w:hAnsi="Aptos" w:cs="Arial"/>
                <w:sz w:val="20"/>
                <w:szCs w:val="20"/>
                <w:lang w:val="en-IE"/>
              </w:rPr>
            </w:pPr>
            <w:r>
              <w:rPr>
                <w:rFonts w:ascii="Aptos" w:hAnsi="Aptos" w:cs="Arial"/>
                <w:sz w:val="20"/>
                <w:szCs w:val="20"/>
                <w:lang w:val="en-IE"/>
              </w:rPr>
              <w:t>Order, family, subfamily, genus, species</w:t>
            </w:r>
          </w:p>
          <w:p w14:paraId="17B10E5F" w14:textId="77777777" w:rsidR="00EE11BD" w:rsidRDefault="00EE11BD">
            <w:pPr>
              <w:rPr>
                <w:rFonts w:ascii="Aptos" w:hAnsi="Aptos" w:cs="Arial"/>
                <w:sz w:val="20"/>
                <w:szCs w:val="20"/>
                <w:lang w:val="en-IE"/>
              </w:rPr>
            </w:pPr>
          </w:p>
          <w:p w14:paraId="7E8107C8" w14:textId="77777777" w:rsidR="00EE11BD" w:rsidRDefault="00EE11BD">
            <w:pPr>
              <w:rPr>
                <w:rFonts w:ascii="Aptos" w:hAnsi="Aptos" w:cs="Arial"/>
                <w:sz w:val="20"/>
                <w:szCs w:val="20"/>
                <w:lang w:val="en-IE"/>
              </w:rPr>
            </w:pPr>
          </w:p>
          <w:p w14:paraId="3714897B" w14:textId="77777777" w:rsidR="00EE11BD" w:rsidRDefault="00F70457">
            <w:pPr>
              <w:rPr>
                <w:rFonts w:ascii="Aptos" w:hAnsi="Aptos" w:cs="Arial"/>
                <w:sz w:val="20"/>
                <w:szCs w:val="20"/>
                <w:lang w:val="en-IE"/>
              </w:rPr>
            </w:pPr>
            <w:r>
              <w:rPr>
                <w:rFonts w:ascii="Aptos" w:hAnsi="Aptos" w:cs="Arial"/>
                <w:i/>
                <w:sz w:val="20"/>
                <w:szCs w:val="20"/>
                <w:lang w:val="en-IE"/>
              </w:rPr>
              <w:t>Description of current taxonomy</w:t>
            </w:r>
            <w:r>
              <w:rPr>
                <w:rFonts w:ascii="Aptos" w:hAnsi="Aptos" w:cs="Arial"/>
                <w:sz w:val="20"/>
                <w:szCs w:val="20"/>
                <w:lang w:val="en-IE"/>
              </w:rPr>
              <w:t xml:space="preserve">:       </w:t>
            </w:r>
          </w:p>
          <w:p w14:paraId="29EAF70C" w14:textId="77777777" w:rsidR="00EE11BD" w:rsidRDefault="00F70457">
            <w:pPr>
              <w:rPr>
                <w:rFonts w:ascii="Aptos" w:hAnsi="Aptos" w:cs="Arial"/>
                <w:sz w:val="20"/>
                <w:szCs w:val="20"/>
                <w:lang w:val="en-IE"/>
              </w:rPr>
            </w:pPr>
            <w:proofErr w:type="spellStart"/>
            <w:r>
              <w:rPr>
                <w:rFonts w:ascii="Aptos" w:hAnsi="Aptos" w:cs="Arial"/>
                <w:sz w:val="20"/>
                <w:szCs w:val="20"/>
                <w:lang w:val="en-IE"/>
              </w:rPr>
              <w:t>Crassvirales</w:t>
            </w:r>
            <w:proofErr w:type="spellEnd"/>
            <w:r>
              <w:rPr>
                <w:rFonts w:ascii="Aptos" w:hAnsi="Aptos" w:cs="Arial"/>
                <w:sz w:val="20"/>
                <w:szCs w:val="20"/>
                <w:lang w:val="en-IE"/>
              </w:rPr>
              <w:t xml:space="preserve"> was established under taxonomic proposal 2021.022B</w:t>
            </w:r>
          </w:p>
          <w:p w14:paraId="36144626" w14:textId="77777777" w:rsidR="00EE11BD" w:rsidRDefault="00EE11BD">
            <w:pPr>
              <w:rPr>
                <w:rFonts w:ascii="Aptos" w:hAnsi="Aptos" w:cs="Arial"/>
                <w:sz w:val="20"/>
                <w:szCs w:val="20"/>
                <w:lang w:val="en-IE"/>
              </w:rPr>
            </w:pPr>
          </w:p>
          <w:p w14:paraId="42D401E3" w14:textId="77777777" w:rsidR="00EE11BD" w:rsidRDefault="00EE11BD">
            <w:pPr>
              <w:rPr>
                <w:rFonts w:ascii="Aptos" w:hAnsi="Aptos" w:cs="Arial"/>
                <w:sz w:val="20"/>
                <w:szCs w:val="20"/>
                <w:lang w:val="en-IE"/>
              </w:rPr>
            </w:pPr>
          </w:p>
          <w:p w14:paraId="5A593263" w14:textId="77777777" w:rsidR="00EE11BD" w:rsidRDefault="00F70457">
            <w:pPr>
              <w:rPr>
                <w:rFonts w:ascii="Aptos" w:hAnsi="Aptos" w:cs="Arial"/>
                <w:sz w:val="20"/>
                <w:szCs w:val="20"/>
                <w:lang w:val="en-IE"/>
              </w:rPr>
            </w:pPr>
            <w:r>
              <w:rPr>
                <w:rFonts w:ascii="Aptos" w:hAnsi="Aptos" w:cs="Arial"/>
                <w:i/>
                <w:sz w:val="20"/>
                <w:szCs w:val="20"/>
                <w:lang w:val="en-IE"/>
              </w:rPr>
              <w:t>Proposed</w:t>
            </w:r>
            <w:r>
              <w:rPr>
                <w:rFonts w:ascii="Aptos" w:hAnsi="Aptos" w:cs="Arial"/>
                <w:sz w:val="20"/>
                <w:szCs w:val="20"/>
                <w:lang w:val="en-IE"/>
              </w:rPr>
              <w:t xml:space="preserve"> </w:t>
            </w:r>
            <w:r>
              <w:rPr>
                <w:rFonts w:ascii="Aptos" w:hAnsi="Aptos" w:cs="Arial"/>
                <w:i/>
                <w:sz w:val="20"/>
                <w:szCs w:val="20"/>
                <w:lang w:val="en-IE"/>
              </w:rPr>
              <w:t>taxonomic change(s)</w:t>
            </w:r>
            <w:r>
              <w:rPr>
                <w:rFonts w:ascii="Aptos" w:hAnsi="Aptos" w:cs="Arial"/>
                <w:sz w:val="20"/>
                <w:szCs w:val="20"/>
                <w:lang w:val="en-IE"/>
              </w:rPr>
              <w:t xml:space="preserve">:     </w:t>
            </w:r>
          </w:p>
          <w:p w14:paraId="2AEEE066" w14:textId="77777777" w:rsidR="00EE11BD" w:rsidRDefault="00F70457">
            <w:pPr>
              <w:rPr>
                <w:rFonts w:ascii="Aptos" w:hAnsi="Aptos" w:cs="Arial"/>
                <w:sz w:val="20"/>
                <w:szCs w:val="20"/>
                <w:lang w:val="en-IE"/>
              </w:rPr>
            </w:pPr>
            <w:r>
              <w:rPr>
                <w:rFonts w:ascii="Aptos" w:hAnsi="Aptos" w:cs="Arial"/>
                <w:sz w:val="20"/>
                <w:szCs w:val="20"/>
                <w:lang w:val="en-IE"/>
              </w:rPr>
              <w:t>We propose:</w:t>
            </w:r>
          </w:p>
          <w:p w14:paraId="29237A21" w14:textId="77777777"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 xml:space="preserve">The establishment of demarcation criteria for the order </w:t>
            </w:r>
            <w:proofErr w:type="spellStart"/>
            <w:r>
              <w:rPr>
                <w:rFonts w:ascii="Aptos" w:hAnsi="Aptos" w:cs="Arial"/>
                <w:i/>
                <w:iCs/>
                <w:sz w:val="20"/>
                <w:szCs w:val="20"/>
                <w:lang w:val="en-IE"/>
              </w:rPr>
              <w:t>Crassvirales</w:t>
            </w:r>
            <w:proofErr w:type="spellEnd"/>
          </w:p>
          <w:p w14:paraId="51110BFE" w14:textId="5A29DC9B"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 xml:space="preserve">The establishment of the order </w:t>
            </w:r>
            <w:proofErr w:type="spellStart"/>
            <w:r>
              <w:rPr>
                <w:rFonts w:ascii="Aptos" w:hAnsi="Aptos" w:cs="Arial"/>
                <w:i/>
                <w:iCs/>
                <w:sz w:val="20"/>
                <w:szCs w:val="20"/>
                <w:lang w:val="en-IE"/>
              </w:rPr>
              <w:t>Paracrassvirales</w:t>
            </w:r>
            <w:proofErr w:type="spellEnd"/>
            <w:r>
              <w:rPr>
                <w:rFonts w:ascii="Aptos" w:hAnsi="Aptos" w:cs="Arial"/>
                <w:i/>
                <w:iCs/>
                <w:sz w:val="20"/>
                <w:szCs w:val="20"/>
                <w:lang w:val="en-IE"/>
              </w:rPr>
              <w:t xml:space="preserve"> </w:t>
            </w:r>
            <w:r>
              <w:rPr>
                <w:rFonts w:ascii="Aptos" w:hAnsi="Aptos" w:cs="Arial"/>
                <w:sz w:val="20"/>
                <w:szCs w:val="20"/>
                <w:lang w:val="en-IE"/>
              </w:rPr>
              <w:t xml:space="preserve">containing one </w:t>
            </w:r>
            <w:r w:rsidR="002837B7">
              <w:rPr>
                <w:rFonts w:ascii="Aptos" w:hAnsi="Aptos" w:cs="Arial"/>
                <w:sz w:val="20"/>
                <w:szCs w:val="20"/>
                <w:lang w:val="en-IE"/>
              </w:rPr>
              <w:t>new</w:t>
            </w:r>
            <w:r>
              <w:rPr>
                <w:rFonts w:ascii="Aptos" w:hAnsi="Aptos" w:cs="Arial"/>
                <w:sz w:val="20"/>
                <w:szCs w:val="20"/>
                <w:lang w:val="en-IE"/>
              </w:rPr>
              <w:t xml:space="preserve"> family</w:t>
            </w:r>
          </w:p>
          <w:p w14:paraId="1605FE78" w14:textId="6B200F85"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 xml:space="preserve">The establishment of the order </w:t>
            </w:r>
            <w:proofErr w:type="spellStart"/>
            <w:r>
              <w:rPr>
                <w:rFonts w:ascii="Aptos" w:hAnsi="Aptos" w:cs="Arial"/>
                <w:i/>
                <w:iCs/>
                <w:sz w:val="20"/>
                <w:szCs w:val="20"/>
                <w:lang w:val="en-IE"/>
              </w:rPr>
              <w:t>Metacrassvirales</w:t>
            </w:r>
            <w:proofErr w:type="spellEnd"/>
            <w:r>
              <w:rPr>
                <w:rFonts w:ascii="Aptos" w:hAnsi="Aptos" w:cs="Arial"/>
                <w:sz w:val="20"/>
                <w:szCs w:val="20"/>
                <w:lang w:val="en-IE"/>
              </w:rPr>
              <w:t xml:space="preserve"> containing one </w:t>
            </w:r>
            <w:r w:rsidR="002837B7">
              <w:rPr>
                <w:rFonts w:ascii="Aptos" w:hAnsi="Aptos" w:cs="Arial"/>
                <w:sz w:val="20"/>
                <w:szCs w:val="20"/>
                <w:lang w:val="en-IE"/>
              </w:rPr>
              <w:t>new</w:t>
            </w:r>
            <w:r>
              <w:rPr>
                <w:rFonts w:ascii="Aptos" w:hAnsi="Aptos" w:cs="Arial"/>
                <w:sz w:val="20"/>
                <w:szCs w:val="20"/>
                <w:lang w:val="en-IE"/>
              </w:rPr>
              <w:t xml:space="preserve"> family</w:t>
            </w:r>
          </w:p>
          <w:p w14:paraId="7F000A58" w14:textId="77777777"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 xml:space="preserve">The adjustment of demarcation criteria for families within </w:t>
            </w:r>
            <w:proofErr w:type="spellStart"/>
            <w:r>
              <w:rPr>
                <w:rFonts w:ascii="Aptos" w:hAnsi="Aptos" w:cs="Arial"/>
                <w:sz w:val="20"/>
                <w:szCs w:val="20"/>
                <w:lang w:val="en-IE"/>
              </w:rPr>
              <w:t>Crassvirales</w:t>
            </w:r>
            <w:proofErr w:type="spellEnd"/>
          </w:p>
          <w:p w14:paraId="3F99E07C" w14:textId="77777777"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 xml:space="preserve">The creation of one new family within </w:t>
            </w:r>
            <w:proofErr w:type="spellStart"/>
            <w:r w:rsidRPr="002837B7">
              <w:rPr>
                <w:rFonts w:ascii="Aptos" w:hAnsi="Aptos" w:cs="Arial"/>
                <w:i/>
                <w:iCs/>
                <w:sz w:val="20"/>
                <w:szCs w:val="20"/>
                <w:lang w:val="en-IE"/>
              </w:rPr>
              <w:t>Crassvirales</w:t>
            </w:r>
            <w:proofErr w:type="spellEnd"/>
          </w:p>
          <w:p w14:paraId="0D45BB1C" w14:textId="77777777"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 xml:space="preserve">The adjustment of demarcation criteria for genera within </w:t>
            </w:r>
            <w:proofErr w:type="spellStart"/>
            <w:r w:rsidRPr="002837B7">
              <w:rPr>
                <w:rFonts w:ascii="Aptos" w:hAnsi="Aptos" w:cs="Arial"/>
                <w:i/>
                <w:iCs/>
                <w:sz w:val="20"/>
                <w:szCs w:val="20"/>
                <w:lang w:val="en-IE"/>
              </w:rPr>
              <w:t>Crassvirales</w:t>
            </w:r>
            <w:proofErr w:type="spellEnd"/>
            <w:r>
              <w:rPr>
                <w:rFonts w:ascii="Aptos" w:hAnsi="Aptos" w:cs="Arial"/>
                <w:sz w:val="20"/>
                <w:szCs w:val="20"/>
                <w:lang w:val="en-IE"/>
              </w:rPr>
              <w:t xml:space="preserve"> to reflect ICTV guidelines</w:t>
            </w:r>
          </w:p>
          <w:p w14:paraId="4727CE47" w14:textId="77777777"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The creation of 38 new genera</w:t>
            </w:r>
          </w:p>
          <w:p w14:paraId="5D2160F8" w14:textId="77777777"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 xml:space="preserve">The adjustment of demarcation criteria for species within </w:t>
            </w:r>
            <w:proofErr w:type="spellStart"/>
            <w:r w:rsidRPr="002837B7">
              <w:rPr>
                <w:rFonts w:ascii="Aptos" w:hAnsi="Aptos" w:cs="Arial"/>
                <w:i/>
                <w:iCs/>
                <w:sz w:val="20"/>
                <w:szCs w:val="20"/>
                <w:lang w:val="en-IE"/>
              </w:rPr>
              <w:t>Crassvirales</w:t>
            </w:r>
            <w:proofErr w:type="spellEnd"/>
            <w:r>
              <w:rPr>
                <w:rFonts w:ascii="Aptos" w:hAnsi="Aptos" w:cs="Arial"/>
                <w:sz w:val="20"/>
                <w:szCs w:val="20"/>
                <w:lang w:val="en-IE"/>
              </w:rPr>
              <w:t xml:space="preserve"> to reflect ICTV guidelines</w:t>
            </w:r>
          </w:p>
          <w:p w14:paraId="6491E880" w14:textId="77777777" w:rsidR="00EE11BD" w:rsidRDefault="00F70457">
            <w:pPr>
              <w:pStyle w:val="ListParagraph"/>
              <w:numPr>
                <w:ilvl w:val="0"/>
                <w:numId w:val="2"/>
              </w:numPr>
              <w:rPr>
                <w:rFonts w:ascii="Aptos" w:hAnsi="Aptos" w:cs="Arial"/>
                <w:sz w:val="20"/>
                <w:szCs w:val="20"/>
                <w:lang w:val="en-IE"/>
              </w:rPr>
            </w:pPr>
            <w:r>
              <w:rPr>
                <w:rFonts w:ascii="Aptos" w:hAnsi="Aptos" w:cs="Arial"/>
                <w:sz w:val="20"/>
                <w:szCs w:val="20"/>
                <w:lang w:val="en-IE"/>
              </w:rPr>
              <w:t>The creation of 99 new species</w:t>
            </w:r>
          </w:p>
          <w:p w14:paraId="4C91719B" w14:textId="77777777" w:rsidR="00EE11BD" w:rsidRDefault="00EE11BD">
            <w:pPr>
              <w:rPr>
                <w:rFonts w:ascii="Aptos" w:hAnsi="Aptos" w:cs="Arial"/>
                <w:sz w:val="20"/>
                <w:szCs w:val="20"/>
                <w:lang w:val="en-IE"/>
              </w:rPr>
            </w:pPr>
          </w:p>
          <w:p w14:paraId="02C031DC" w14:textId="77777777" w:rsidR="00EE11BD" w:rsidRDefault="00EE11BD">
            <w:pPr>
              <w:rPr>
                <w:rFonts w:ascii="Aptos" w:hAnsi="Aptos" w:cs="Arial"/>
                <w:sz w:val="20"/>
                <w:szCs w:val="20"/>
                <w:lang w:val="en-IE"/>
              </w:rPr>
            </w:pPr>
          </w:p>
          <w:p w14:paraId="224583A4" w14:textId="77777777" w:rsidR="00EE11BD" w:rsidRDefault="00F70457">
            <w:pPr>
              <w:rPr>
                <w:rFonts w:ascii="Aptos" w:hAnsi="Aptos" w:cs="Arial"/>
                <w:i/>
                <w:sz w:val="20"/>
                <w:szCs w:val="20"/>
                <w:lang w:val="en-IE"/>
              </w:rPr>
            </w:pPr>
            <w:r>
              <w:rPr>
                <w:rFonts w:ascii="Aptos" w:hAnsi="Aptos" w:cs="Arial"/>
                <w:sz w:val="20"/>
                <w:szCs w:val="20"/>
                <w:lang w:val="en-IE"/>
              </w:rPr>
              <w:br/>
            </w:r>
            <w:r>
              <w:rPr>
                <w:rFonts w:ascii="Aptos" w:hAnsi="Aptos" w:cs="Arial"/>
                <w:i/>
                <w:sz w:val="20"/>
                <w:szCs w:val="20"/>
                <w:lang w:val="en-IE"/>
              </w:rPr>
              <w:t>Demarcation criteria:</w:t>
            </w:r>
          </w:p>
          <w:p w14:paraId="5FD7DF54" w14:textId="77777777" w:rsidR="00EE11BD" w:rsidRDefault="00F70457">
            <w:pPr>
              <w:rPr>
                <w:rFonts w:ascii="Aptos" w:hAnsi="Aptos" w:cs="Arial"/>
                <w:iCs/>
                <w:sz w:val="20"/>
                <w:szCs w:val="20"/>
                <w:lang w:val="en-IE"/>
              </w:rPr>
            </w:pPr>
            <w:r>
              <w:rPr>
                <w:rFonts w:ascii="Aptos" w:hAnsi="Aptos" w:cs="Arial"/>
                <w:b/>
                <w:bCs/>
                <w:iCs/>
                <w:sz w:val="20"/>
                <w:szCs w:val="20"/>
                <w:lang w:val="en-IE"/>
              </w:rPr>
              <w:t>Genus and species</w:t>
            </w:r>
            <w:r>
              <w:rPr>
                <w:rFonts w:ascii="Aptos" w:hAnsi="Aptos" w:cs="Arial"/>
                <w:iCs/>
                <w:sz w:val="20"/>
                <w:szCs w:val="20"/>
                <w:lang w:val="en-IE"/>
              </w:rPr>
              <w:t>:</w:t>
            </w:r>
          </w:p>
          <w:p w14:paraId="779F858F" w14:textId="77777777" w:rsidR="00EE11BD" w:rsidRDefault="00F70457">
            <w:pPr>
              <w:rPr>
                <w:rFonts w:ascii="Aptos" w:hAnsi="Aptos" w:cs="Arial"/>
                <w:iCs/>
                <w:sz w:val="20"/>
                <w:szCs w:val="20"/>
                <w:lang w:val="en-IE"/>
              </w:rPr>
            </w:pPr>
            <w:r>
              <w:rPr>
                <w:rFonts w:ascii="Aptos" w:hAnsi="Aptos" w:cs="Arial"/>
                <w:iCs/>
                <w:sz w:val="20"/>
                <w:szCs w:val="20"/>
                <w:lang w:val="en-IE"/>
              </w:rPr>
              <w:t>The demarcation of genus and species was performed by calculating total average nucleotide identity with Vclust</w:t>
            </w:r>
            <w:r>
              <w:fldChar w:fldCharType="begin"/>
            </w:r>
            <w:r>
              <w:rPr>
                <w:rFonts w:ascii="Aptos" w:hAnsi="Aptos" w:cs="Arial"/>
                <w:iCs/>
                <w:sz w:val="20"/>
                <w:szCs w:val="20"/>
                <w:lang w:val="en-IE"/>
              </w:rPr>
              <w:instrText>ADDIN ZOTERO_ITEM CSL_CITATION {"citationID":"CzAgkyii","properties":{"formattedCitation":"\\super 1\\nosupersub{}","plainCitation":"1","noteIndex":0},"citationItems":[{"id":291,"uris":["http://zotero.org/users/14304502/items/4VTSL2SL"],"itemData":{"id":291,"type":"article","abstract":"Viromics produces millions of viral genomes and fragments annually, overwhelming traditional sequence comparison methods. We introduce Vclust, a novel approach that determines average nucleotide identity by Lempel-Ziv parsing and clusters viral genomes with thresholds endorsed by authoritative viral genomics and taxonomy consortia. Vclust demonstrates superior accuracy and efficiency compared to existing tools, clustering millions of virus genomes in a few hours on a mid-range workstation.","DOI":"10.1101/2024.06.27.601020","language":"en","license":"© 2024, Posted by Cold Spring Harbor Laboratory. This pre-print is available under a Creative Commons License (Attribution-NonCommercial-NoDerivs 4.0 International), CC BY-NC-ND 4.0, as described at http://creativecommons.org/licenses/by-nc-nd/4.0/","note":"page: 2024.06.27.601020\nsection: New Results","publisher":"bioRxiv","source":"bioRxiv","title":"Ultrafast and accurate sequence alignment and clustering of viral genomes","URL":"https://www.biorxiv.org/content/10.1101/2024.06.27.601020v1","author":[{"family":"Zielezinski","given":"Andrzej"},{"family":"Gudyś","given":"Adam"},{"family":"Barylski","given":"Jakub"},{"family":"Siminski","given":"Krzysztof"},{"family":"Rozwalak","given":"Piotr"},{"family":"Dutilh","given":"Bas E."},{"family":"Deorowicz","given":"Sebastian"}],"accessed":{"date-parts":[["2025",1,31]]},"issued":{"date-parts":[["2024",7,2]]}}}],"schema":"https://github.com/citation-style-language/schema/raw/master/csl-citation.json"}</w:instrText>
            </w:r>
            <w:r>
              <w:rPr>
                <w:rFonts w:ascii="Aptos" w:hAnsi="Aptos" w:cs="Arial"/>
                <w:iCs/>
                <w:sz w:val="20"/>
                <w:szCs w:val="20"/>
                <w:lang w:val="en-IE"/>
              </w:rPr>
              <w:fldChar w:fldCharType="separate"/>
            </w:r>
            <w:r>
              <w:rPr>
                <w:rFonts w:ascii="Aptos" w:hAnsi="Aptos"/>
                <w:sz w:val="20"/>
                <w:vertAlign w:val="superscript"/>
                <w:lang w:val="en-IE"/>
              </w:rPr>
              <w:t>1</w:t>
            </w:r>
            <w:r>
              <w:rPr>
                <w:rFonts w:ascii="Aptos" w:hAnsi="Aptos" w:cs="Arial"/>
                <w:iCs/>
                <w:sz w:val="20"/>
                <w:szCs w:val="20"/>
                <w:lang w:val="en-IE"/>
              </w:rPr>
              <w:fldChar w:fldCharType="end"/>
            </w:r>
            <w:r>
              <w:rPr>
                <w:rFonts w:ascii="Aptos" w:hAnsi="Aptos" w:cs="Arial"/>
                <w:iCs/>
                <w:sz w:val="20"/>
                <w:szCs w:val="20"/>
                <w:lang w:val="en-IE"/>
              </w:rPr>
              <w:t>, adhering to the ICTV</w:t>
            </w:r>
            <w:r>
              <w:fldChar w:fldCharType="begin"/>
            </w:r>
            <w:r>
              <w:rPr>
                <w:rFonts w:ascii="Aptos" w:hAnsi="Aptos" w:cs="Arial"/>
                <w:iCs/>
                <w:sz w:val="20"/>
                <w:szCs w:val="20"/>
                <w:lang w:val="en-IE"/>
              </w:rPr>
              <w:instrText>ADDIN ZOTERO_ITEM CSL_CITATION {"citationID":"I2hJO9ru","properties":{"formattedCitation":"\\super 2\\nosupersub{}","plainCitation":"2","noteIndex":0},"citationItems":[{"id":341,"uris":["http://zotero.org/users/14304502/items/WTQNRI6J"],"itemData":{"id":341,"type":"article-journal","abstract":"Bacteriophage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taxonomy.","container-title":"Viruses","DOI":"10.3390/v13030506","ISSN":"1999-4915","issue":"3","language":"en","license":"http://creativecommons.org/licenses/by/3.0/","note":"number: 3\npublisher: Multidisciplinary Digital Publishing Institute","page":"506","source":"www.mdpi.com","title":"A Roadmap for Genome-Based Phage Taxonomy","volume":"13","author":[{"family":"Turner","given":"Dann"},{"family":"Kropinski","given":"Andrew M."},{"family":"Adriaenssens","given":"Evelien M."}],"issued":{"date-parts":[["2021",3]]}}}],"schema":"https://github.com/citation-style-language/schema/raw/master/csl-citation.json"}</w:instrText>
            </w:r>
            <w:r>
              <w:rPr>
                <w:rFonts w:ascii="Aptos" w:hAnsi="Aptos" w:cs="Arial"/>
                <w:iCs/>
                <w:sz w:val="20"/>
                <w:szCs w:val="20"/>
                <w:lang w:val="en-IE"/>
              </w:rPr>
              <w:fldChar w:fldCharType="separate"/>
            </w:r>
            <w:r>
              <w:rPr>
                <w:rFonts w:ascii="Aptos" w:hAnsi="Aptos"/>
                <w:sz w:val="20"/>
                <w:vertAlign w:val="superscript"/>
                <w:lang w:val="en-IE"/>
              </w:rPr>
              <w:t>2</w:t>
            </w:r>
            <w:r>
              <w:rPr>
                <w:rFonts w:ascii="Aptos" w:hAnsi="Aptos" w:cs="Arial"/>
                <w:iCs/>
                <w:sz w:val="20"/>
                <w:szCs w:val="20"/>
                <w:lang w:val="en-IE"/>
              </w:rPr>
              <w:fldChar w:fldCharType="end"/>
            </w:r>
            <w:r>
              <w:rPr>
                <w:rFonts w:ascii="Aptos" w:hAnsi="Aptos" w:cs="Arial"/>
                <w:iCs/>
                <w:sz w:val="20"/>
                <w:szCs w:val="20"/>
                <w:lang w:val="en-IE"/>
              </w:rPr>
              <w:t xml:space="preserve"> suggested thresholds, species are categorized as genomes showing ≤95% similarity, while genera are characterised by ≥70% similarity.</w:t>
            </w:r>
          </w:p>
          <w:p w14:paraId="3DD3BC4E" w14:textId="77777777" w:rsidR="00EE11BD" w:rsidRDefault="00EE11BD">
            <w:pPr>
              <w:rPr>
                <w:rFonts w:ascii="Aptos" w:hAnsi="Aptos" w:cs="Arial"/>
                <w:i/>
                <w:sz w:val="20"/>
                <w:szCs w:val="20"/>
                <w:lang w:val="en-IE"/>
              </w:rPr>
            </w:pPr>
          </w:p>
          <w:p w14:paraId="7EEBD1D3" w14:textId="77777777" w:rsidR="00EE11BD" w:rsidRDefault="00F70457">
            <w:pPr>
              <w:rPr>
                <w:rFonts w:ascii="Aptos" w:hAnsi="Aptos" w:cs="Arial"/>
                <w:b/>
                <w:bCs/>
                <w:iCs/>
                <w:sz w:val="20"/>
                <w:szCs w:val="20"/>
                <w:lang w:val="en-IE"/>
              </w:rPr>
            </w:pPr>
            <w:r>
              <w:rPr>
                <w:rFonts w:ascii="Aptos" w:hAnsi="Aptos" w:cs="Arial"/>
                <w:b/>
                <w:bCs/>
                <w:iCs/>
                <w:sz w:val="20"/>
                <w:szCs w:val="20"/>
                <w:lang w:val="en-IE"/>
              </w:rPr>
              <w:t>Subfamilies:</w:t>
            </w:r>
          </w:p>
          <w:p w14:paraId="37DD9585" w14:textId="77777777" w:rsidR="00EE11BD" w:rsidRDefault="00F70457">
            <w:pPr>
              <w:rPr>
                <w:rFonts w:ascii="Aptos" w:hAnsi="Aptos" w:cs="Arial"/>
                <w:iCs/>
                <w:sz w:val="20"/>
                <w:szCs w:val="20"/>
                <w:lang w:val="en-IE"/>
              </w:rPr>
            </w:pPr>
            <w:r>
              <w:rPr>
                <w:rFonts w:ascii="Aptos" w:hAnsi="Aptos" w:cs="Arial"/>
                <w:iCs/>
                <w:sz w:val="20"/>
                <w:szCs w:val="20"/>
                <w:lang w:val="en-IE"/>
              </w:rPr>
              <w:t xml:space="preserve">The current demarcation criteria are problematic, resulting in uncertain placements for new members, the formation of non-monophyletic clades, and subfamilies that contain either all genera or only a single genus within the family. No meaningful replacement demarcation criteria for subfamilies were identified; therefore, we recommend maintaining the current criteria and all current classifications, but did not create new subfamilies to accommodate novel genera. </w:t>
            </w:r>
          </w:p>
          <w:p w14:paraId="4ABDF18C" w14:textId="77777777" w:rsidR="00EE11BD" w:rsidRDefault="00EE11BD">
            <w:pPr>
              <w:rPr>
                <w:rFonts w:ascii="Aptos" w:hAnsi="Aptos" w:cs="Arial"/>
                <w:i/>
                <w:sz w:val="20"/>
                <w:szCs w:val="20"/>
                <w:lang w:val="en-IE"/>
              </w:rPr>
            </w:pPr>
          </w:p>
          <w:p w14:paraId="73E866B7" w14:textId="77777777" w:rsidR="00EE11BD" w:rsidRDefault="00F70457">
            <w:pPr>
              <w:rPr>
                <w:rFonts w:ascii="Aptos" w:hAnsi="Aptos" w:cs="Arial"/>
                <w:i/>
                <w:sz w:val="20"/>
                <w:szCs w:val="20"/>
                <w:lang w:val="en-IE"/>
              </w:rPr>
            </w:pPr>
            <w:r>
              <w:rPr>
                <w:rFonts w:ascii="Aptos" w:hAnsi="Aptos" w:cs="Arial"/>
                <w:b/>
                <w:bCs/>
                <w:iCs/>
                <w:sz w:val="20"/>
                <w:szCs w:val="20"/>
                <w:lang w:val="en-IE"/>
              </w:rPr>
              <w:t>Families</w:t>
            </w:r>
            <w:r>
              <w:rPr>
                <w:rFonts w:ascii="Aptos" w:hAnsi="Aptos" w:cs="Arial"/>
                <w:i/>
                <w:sz w:val="20"/>
                <w:szCs w:val="20"/>
                <w:lang w:val="en-IE"/>
              </w:rPr>
              <w:t>:</w:t>
            </w:r>
          </w:p>
          <w:p w14:paraId="35B97909" w14:textId="77777777" w:rsidR="00EE11BD" w:rsidRDefault="00F70457">
            <w:pPr>
              <w:rPr>
                <w:rFonts w:ascii="Aptos" w:hAnsi="Aptos" w:cs="Arial"/>
                <w:iCs/>
                <w:sz w:val="20"/>
                <w:szCs w:val="20"/>
                <w:lang w:val="en-IE"/>
              </w:rPr>
            </w:pPr>
            <w:r>
              <w:rPr>
                <w:rFonts w:ascii="Aptos" w:hAnsi="Aptos" w:cs="Arial"/>
                <w:iCs/>
                <w:sz w:val="20"/>
                <w:szCs w:val="20"/>
                <w:lang w:val="en-IE"/>
              </w:rPr>
              <w:t>The demarcation of Families is based on deep-branching monophyletic clades in the gene and consensus species trees generated using both structural phylogenetic and maximum-likelihood phylogenetic trees, all derived from four well-conserved core genes.</w:t>
            </w:r>
          </w:p>
          <w:p w14:paraId="2765202B" w14:textId="77777777" w:rsidR="00EE11BD" w:rsidRDefault="00EE11BD">
            <w:pPr>
              <w:rPr>
                <w:rFonts w:ascii="Aptos" w:hAnsi="Aptos" w:cs="Arial"/>
                <w:iCs/>
                <w:sz w:val="20"/>
                <w:szCs w:val="20"/>
                <w:lang w:val="en-IE"/>
              </w:rPr>
            </w:pPr>
          </w:p>
          <w:p w14:paraId="6D8FD98D" w14:textId="77777777" w:rsidR="00EE11BD" w:rsidRDefault="00F70457">
            <w:pPr>
              <w:rPr>
                <w:rFonts w:ascii="Aptos" w:hAnsi="Aptos" w:cs="Arial"/>
                <w:b/>
                <w:bCs/>
                <w:iCs/>
                <w:sz w:val="20"/>
                <w:szCs w:val="20"/>
                <w:lang w:val="en-IE"/>
              </w:rPr>
            </w:pPr>
            <w:r>
              <w:rPr>
                <w:rFonts w:ascii="Aptos" w:hAnsi="Aptos" w:cs="Arial"/>
                <w:b/>
                <w:bCs/>
                <w:iCs/>
                <w:sz w:val="20"/>
                <w:szCs w:val="20"/>
                <w:lang w:val="en-IE"/>
              </w:rPr>
              <w:t>Orders:</w:t>
            </w:r>
          </w:p>
          <w:p w14:paraId="4299DE73" w14:textId="77777777" w:rsidR="00EE11BD" w:rsidRDefault="00F70457">
            <w:pPr>
              <w:rPr>
                <w:rFonts w:ascii="Aptos" w:hAnsi="Aptos" w:cs="Arial"/>
                <w:iCs/>
                <w:sz w:val="20"/>
                <w:szCs w:val="20"/>
                <w:lang w:val="en-IE"/>
              </w:rPr>
            </w:pPr>
            <w:r>
              <w:rPr>
                <w:rFonts w:ascii="Aptos" w:hAnsi="Aptos" w:cs="Arial"/>
                <w:iCs/>
                <w:sz w:val="20"/>
                <w:szCs w:val="20"/>
                <w:lang w:val="en-IE"/>
              </w:rPr>
              <w:t xml:space="preserve">The demarcation of Orders is based on deep-branching monophyletic clades in the gene and consensus species trees generated using both structural phylogenetic and maximum-likelihood phylogenetic trees, all derived from four well-conserved core genes. As well as the presence or absence of two key core marker genes. </w:t>
            </w:r>
          </w:p>
          <w:p w14:paraId="23F7AEBB" w14:textId="77777777" w:rsidR="00EE11BD" w:rsidRDefault="00EE11BD">
            <w:pPr>
              <w:rPr>
                <w:rFonts w:ascii="Aptos" w:hAnsi="Aptos" w:cs="Arial"/>
                <w:b/>
                <w:bCs/>
                <w:iCs/>
                <w:sz w:val="20"/>
                <w:szCs w:val="20"/>
                <w:lang w:val="en-IE"/>
              </w:rPr>
            </w:pPr>
          </w:p>
          <w:p w14:paraId="6FF70450" w14:textId="77777777" w:rsidR="00EE11BD" w:rsidRDefault="00F70457">
            <w:pPr>
              <w:rPr>
                <w:rFonts w:ascii="Aptos" w:hAnsi="Aptos" w:cs="Arial"/>
                <w:sz w:val="20"/>
                <w:szCs w:val="20"/>
                <w:lang w:val="en-IE"/>
              </w:rPr>
            </w:pPr>
            <w:r>
              <w:rPr>
                <w:rFonts w:ascii="Aptos" w:hAnsi="Aptos" w:cs="Arial"/>
                <w:b/>
                <w:bCs/>
                <w:i/>
                <w:sz w:val="20"/>
                <w:szCs w:val="20"/>
                <w:lang w:val="en-IE"/>
              </w:rPr>
              <w:t>Justification</w:t>
            </w:r>
            <w:r>
              <w:rPr>
                <w:rFonts w:ascii="Aptos" w:hAnsi="Aptos" w:cs="Arial"/>
                <w:sz w:val="20"/>
                <w:szCs w:val="20"/>
                <w:lang w:val="en-IE"/>
              </w:rPr>
              <w:t xml:space="preserve">:      </w:t>
            </w:r>
          </w:p>
          <w:p w14:paraId="726D5CBB" w14:textId="4B78FCC4" w:rsidR="00EE11BD" w:rsidRDefault="00F70457">
            <w:pPr>
              <w:rPr>
                <w:rFonts w:ascii="Aptos" w:hAnsi="Aptos" w:cs="Arial"/>
                <w:sz w:val="20"/>
                <w:szCs w:val="20"/>
                <w:lang w:val="en-IE"/>
              </w:rPr>
            </w:pPr>
            <w:r>
              <w:rPr>
                <w:rFonts w:ascii="Aptos" w:hAnsi="Aptos" w:cs="Arial"/>
                <w:sz w:val="20"/>
                <w:szCs w:val="20"/>
                <w:lang w:val="en-IE"/>
              </w:rPr>
              <w:t xml:space="preserve">Currently, </w:t>
            </w: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lacks demarcation criteria. The existing criteria within </w:t>
            </w: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are ambiguous, unintuitive and based on outdated methods and results. Phylogenetic trees utilising structural and maximum likelihood approaches based on marker genes reveal the formation of unique clades that align with the proposed orders and support the proposed demarcation criteria. The criteria proposed for family demarcation establish monophyletic clades through proteome and genome analysis, enhancing clarity and reproducibility. The proposed demarcation criteria for genera and species align with current ICTV guidelines and are supported by phylogenetic analysis.</w:t>
            </w:r>
          </w:p>
          <w:p w14:paraId="688B72E2" w14:textId="77777777" w:rsidR="00EE11BD" w:rsidRDefault="00EE11BD">
            <w:pPr>
              <w:rPr>
                <w:rFonts w:ascii="Aptos" w:hAnsi="Aptos" w:cs="Arial"/>
                <w:sz w:val="20"/>
                <w:szCs w:val="20"/>
                <w:lang w:val="en-IE"/>
              </w:rPr>
            </w:pPr>
          </w:p>
          <w:p w14:paraId="48C3392B" w14:textId="77777777" w:rsidR="00EE11BD" w:rsidRDefault="00F70457">
            <w:pPr>
              <w:rPr>
                <w:rFonts w:ascii="Aptos" w:hAnsi="Aptos" w:cs="Arial"/>
                <w:color w:val="0000FF"/>
                <w:sz w:val="20"/>
                <w:szCs w:val="20"/>
                <w:lang w:val="en-IE"/>
              </w:rPr>
            </w:pPr>
            <w:r>
              <w:rPr>
                <w:rFonts w:ascii="Aptos" w:hAnsi="Aptos" w:cs="Arial"/>
                <w:b/>
                <w:bCs/>
                <w:sz w:val="20"/>
                <w:szCs w:val="20"/>
                <w:lang w:val="en-IE"/>
              </w:rPr>
              <w:lastRenderedPageBreak/>
              <w:t>Orders</w:t>
            </w:r>
            <w:r>
              <w:rPr>
                <w:rFonts w:ascii="Aptos" w:hAnsi="Aptos" w:cs="Arial"/>
                <w:color w:val="0000FF"/>
                <w:sz w:val="20"/>
                <w:szCs w:val="20"/>
                <w:lang w:val="en-IE"/>
              </w:rPr>
              <w:t>:</w:t>
            </w:r>
          </w:p>
          <w:p w14:paraId="04750423" w14:textId="647A4B8B" w:rsidR="00EE11BD" w:rsidRDefault="00F70457">
            <w:pPr>
              <w:rPr>
                <w:rFonts w:ascii="Aptos" w:hAnsi="Aptos" w:cs="Arial"/>
                <w:sz w:val="20"/>
                <w:szCs w:val="20"/>
                <w:lang w:val="en-IE"/>
              </w:rPr>
            </w:pPr>
            <w:r>
              <w:rPr>
                <w:rFonts w:ascii="Aptos" w:hAnsi="Aptos" w:cs="Arial"/>
                <w:sz w:val="20"/>
                <w:szCs w:val="20"/>
                <w:lang w:val="en-IE"/>
              </w:rPr>
              <w:t xml:space="preserve">We propose the creation of two new orders, </w:t>
            </w:r>
            <w:proofErr w:type="spellStart"/>
            <w:r>
              <w:rPr>
                <w:rFonts w:ascii="Aptos" w:hAnsi="Aptos" w:cs="Arial"/>
                <w:i/>
                <w:iCs/>
                <w:sz w:val="20"/>
                <w:szCs w:val="20"/>
                <w:lang w:val="en-IE"/>
              </w:rPr>
              <w:t>Paracrassvirales</w:t>
            </w:r>
            <w:proofErr w:type="spellEnd"/>
            <w:r>
              <w:rPr>
                <w:rFonts w:ascii="Aptos" w:hAnsi="Aptos" w:cs="Arial"/>
                <w:i/>
                <w:iCs/>
                <w:sz w:val="20"/>
                <w:szCs w:val="20"/>
                <w:lang w:val="en-IE"/>
              </w:rPr>
              <w:t xml:space="preserve"> </w:t>
            </w:r>
            <w:r>
              <w:rPr>
                <w:rFonts w:ascii="Aptos" w:hAnsi="Aptos" w:cs="Arial"/>
                <w:sz w:val="20"/>
                <w:szCs w:val="20"/>
                <w:lang w:val="en-IE"/>
              </w:rPr>
              <w:t xml:space="preserve">and </w:t>
            </w:r>
            <w:proofErr w:type="spellStart"/>
            <w:r>
              <w:rPr>
                <w:rFonts w:ascii="Aptos" w:hAnsi="Aptos" w:cs="Arial"/>
                <w:i/>
                <w:iCs/>
                <w:sz w:val="20"/>
                <w:szCs w:val="20"/>
                <w:lang w:val="en-IE"/>
              </w:rPr>
              <w:t>Metacrassvirales</w:t>
            </w:r>
            <w:proofErr w:type="spellEnd"/>
            <w:r>
              <w:rPr>
                <w:rFonts w:ascii="Aptos" w:hAnsi="Aptos" w:cs="Arial"/>
                <w:i/>
                <w:iCs/>
                <w:sz w:val="20"/>
                <w:szCs w:val="20"/>
                <w:lang w:val="en-IE"/>
              </w:rPr>
              <w:t xml:space="preserve">. </w:t>
            </w:r>
            <w:r>
              <w:rPr>
                <w:rFonts w:ascii="Aptos" w:hAnsi="Aptos" w:cs="Arial"/>
                <w:sz w:val="20"/>
                <w:szCs w:val="20"/>
                <w:lang w:val="en-IE"/>
              </w:rPr>
              <w:t>Structural phylogenetic analysis of both single protein and core proteomes using FoldTree</w:t>
            </w:r>
            <w:r>
              <w:fldChar w:fldCharType="begin"/>
            </w:r>
            <w:r>
              <w:rPr>
                <w:rFonts w:ascii="Aptos" w:hAnsi="Aptos" w:cs="Arial"/>
                <w:sz w:val="20"/>
                <w:szCs w:val="20"/>
                <w:lang w:val="en-IE"/>
              </w:rPr>
              <w:instrText>ADDIN ZOTERO_ITEM CSL_CITATION {"citationID":"poP4q3ur","properties":{"formattedCitation":"\\super 3\\nosupersub{}","plainCitation":"3","noteIndex":0},"citationItems":[{"id":187,"uris":["http://zotero.org/users/14304502/items/ZH94GCQA"],"itemData":{"id":187,"type":"article","abstract":"Recent advances in AI-based protein structure modeling have yielded remarkable progress in predicting protein structures. Since structures are constrained by their biological function, their geometry tends to evolve more slowly than the underlying amino acids sequences. This feature of structures could in principle be used to reconstruct phylogenetic trees over longer evolutionary timescales than sequence-based approaches, but until now a reliable structure-based tree building method has been elusive. Here, we demonstrate that the use of structure-based phylogenies can outperform sequence-based ones not only for distantly related proteins but also, remarkably, for more closely related ones. This is achieved by inferring trees from protein structures using a local structural alphabet, an approach robust to conformational changes that confound traditional structural distance measures. As an illustration, we used structures to decipher the evolutionary diversification of a particularly challenging family: the fast-evolving RRNPPA quorum sensing receptors enabling gram-positive bacteria, plasmids and bacteriophages to communicate and coordinate key behaviors such as sporulation, virulence, antibiotic resistance, conjugation or phage lysis/lysogeny decision. The advent of high-accuracy structural phylogenetics enables myriad of applications across biology, such as uncovering deeper evolutionary relationships, elucidating unknown protein functions, or refining the design of bioengineered molecules.","DOI":"10.1101/2023.09.19.558401","language":"en","license":"© 2023, Posted by Cold Spring Harbor Laboratory. This pre-print is available under a Creative Commons License (Attribution-NonCommercial-NoDerivs 4.0 International), CC BY-NC-ND 4.0, as described at http://creativecommons.org/licenses/by-nc-nd/4.0/","note":"page: 2023.09.19.558401\nsection: New Results","publisher":"bioRxiv","source":"bioRxiv","title":"Structural phylogenetics unravels the evolutionary diversification of communication systems in gram-positive bacteria and their viruses","URL":"https://www.biorxiv.org/content/10.1101/2023.09.19.558401v1","author":[{"family":"Moi","given":"David"},{"family":"Bernard","given":"Charles"},{"family":"Steinegger","given":"Martin"},{"family":"Nevers","given":"Yannis"},{"family":"Langleib","given":"Mauricio"},{"family":"Dessimoz","given":"Christophe"}],"accessed":{"date-parts":[["2024",6,14]]},"issued":{"date-parts":[["2023",9,21]]}}}],"schema":"https://github.com/citation-style-language/schema/raw/master/csl-citation.json"}</w:instrText>
            </w:r>
            <w:r>
              <w:rPr>
                <w:rFonts w:ascii="Aptos" w:hAnsi="Aptos" w:cs="Arial"/>
                <w:sz w:val="20"/>
                <w:szCs w:val="20"/>
                <w:lang w:val="en-IE"/>
              </w:rPr>
              <w:fldChar w:fldCharType="separate"/>
            </w:r>
            <w:r>
              <w:rPr>
                <w:rFonts w:ascii="Aptos" w:hAnsi="Aptos"/>
                <w:sz w:val="20"/>
                <w:vertAlign w:val="superscript"/>
                <w:lang w:val="en-IE"/>
              </w:rPr>
              <w:t>3</w:t>
            </w:r>
            <w:r>
              <w:rPr>
                <w:rFonts w:ascii="Aptos" w:hAnsi="Aptos" w:cs="Arial"/>
                <w:sz w:val="20"/>
                <w:szCs w:val="20"/>
                <w:lang w:val="en-IE"/>
              </w:rPr>
              <w:fldChar w:fldCharType="end"/>
            </w:r>
            <w:r>
              <w:rPr>
                <w:rFonts w:ascii="Aptos" w:hAnsi="Aptos" w:cs="Arial"/>
                <w:sz w:val="20"/>
                <w:szCs w:val="20"/>
                <w:lang w:val="en-IE"/>
              </w:rPr>
              <w:t xml:space="preserve"> reveals the creation of three separate clades (Figure 1-6), further supported by maximum likelihood phylogenies of the same proteins (Figure 7). Furthermore, we propose the use of two marker genes discovered through </w:t>
            </w:r>
            <w:proofErr w:type="spellStart"/>
            <w:r>
              <w:rPr>
                <w:rFonts w:ascii="Aptos" w:hAnsi="Aptos" w:cs="Arial"/>
                <w:sz w:val="20"/>
                <w:szCs w:val="20"/>
                <w:lang w:val="en-IE"/>
              </w:rPr>
              <w:t>PhaMMseqs</w:t>
            </w:r>
            <w:proofErr w:type="spellEnd"/>
            <w:r>
              <w:rPr>
                <w:rFonts w:ascii="Aptos" w:hAnsi="Aptos" w:cs="Arial"/>
                <w:sz w:val="20"/>
                <w:szCs w:val="20"/>
                <w:lang w:val="en-IE"/>
              </w:rPr>
              <w:t xml:space="preserve"> v1.0.4 </w:t>
            </w:r>
            <w:r>
              <w:fldChar w:fldCharType="begin"/>
            </w:r>
            <w:r>
              <w:rPr>
                <w:rFonts w:ascii="Aptos" w:hAnsi="Aptos" w:cs="Arial"/>
                <w:sz w:val="20"/>
                <w:szCs w:val="20"/>
                <w:lang w:val="en-IE"/>
              </w:rPr>
              <w:instrText>ADDIN ZOTERO_ITEM CSL_CITATION {"citationID":"1NKNyYnZ","properties":{"formattedCitation":"\\super 4\\nosupersub{}","plainCitation":"4","noteIndex":0},"citationItems":[{"id":111,"uris":["http://zotero.org/users/14304502/items/5XQ9TSPQ"],"itemData":{"id":111,"type":"article-journal","abstract":"The diversity and mosaic architecture of phage genomes present challenges for whole-genome phylogenies and comparative genomics. There are no universally conserved core genes, $70% of phage genes are of unknown function, and phage genomes are replete with small (&lt;500 bp) open reading frames. Assembling sequence-related genes into “phamilies” (“phams”) based on amino acid sequence similarity simpliﬁes comparative phage genomics and facilitates representations of phage genome mosaicism. With the rapid and substantial increase in the numbers of sequenced phage genomes, computationally efﬁcient pham assembly is needed, together with strategies for including newly sequenced phage genomes. Here, we describe the Python package PhaMMseqs, which uses MMseqs2 for pham assembly, and we evaluate the key parameters for optimal pham assembly of sequence- and functionally related proteins. PhaMMseqs runs efﬁciently with only modest hardware requirements and integrates with the pdm_utils package for simple genome entry and export of datasets for evolutionary analyses and phage genome map construction.","container-title":"G3 Genes|Genomes|Genetics","DOI":"10.1093/g3journal/jkac233","ISSN":"2160-1836","issue":"11","language":"en","license":"https://creativecommons.org/licenses/by/4.0/","page":"jkac233","source":"DOI.org (Crossref)","title":"PhaMMseqs: a new pipeline for constructing phage gene phamilies using MMseqs2","title-short":"PhaMMseqs","volume":"12","author":[{"family":"Gauthier","given":"Christian H"},{"family":"Cresawn","given":"Steven G"},{"family":"Hatfull","given":"Graham F"}],"editor":[{"family":"Andrews","given":"B"}],"issued":{"date-parts":[["2022",11,4]]}}}],"schema":"https://github.com/citation-style-language/schema/raw/master/csl-citation.json"}</w:instrText>
            </w:r>
            <w:r>
              <w:rPr>
                <w:rFonts w:ascii="Aptos" w:hAnsi="Aptos" w:cs="Arial"/>
                <w:sz w:val="20"/>
                <w:szCs w:val="20"/>
                <w:lang w:val="en-IE"/>
              </w:rPr>
              <w:fldChar w:fldCharType="separate"/>
            </w:r>
            <w:r>
              <w:rPr>
                <w:rFonts w:ascii="Aptos" w:hAnsi="Aptos"/>
                <w:sz w:val="20"/>
                <w:vertAlign w:val="superscript"/>
                <w:lang w:val="en-IE"/>
              </w:rPr>
              <w:t>4</w:t>
            </w:r>
            <w:r>
              <w:rPr>
                <w:rFonts w:ascii="Aptos" w:hAnsi="Aptos" w:cs="Arial"/>
                <w:sz w:val="20"/>
                <w:szCs w:val="20"/>
                <w:lang w:val="en-IE"/>
              </w:rPr>
              <w:fldChar w:fldCharType="end"/>
            </w:r>
            <w:r>
              <w:rPr>
                <w:rFonts w:ascii="Aptos" w:hAnsi="Aptos" w:cs="Arial"/>
                <w:sz w:val="20"/>
                <w:szCs w:val="20"/>
                <w:lang w:val="en-IE"/>
              </w:rPr>
              <w:t xml:space="preserve"> to delineate the sister orders. One of these genes  (NC_049977 Gp42)   is found in over 99% of all </w:t>
            </w:r>
            <w:proofErr w:type="spellStart"/>
            <w:r>
              <w:rPr>
                <w:rFonts w:ascii="Aptos" w:hAnsi="Aptos" w:cs="Arial"/>
                <w:sz w:val="20"/>
                <w:szCs w:val="20"/>
                <w:lang w:val="en-IE"/>
              </w:rPr>
              <w:t>Crassvirales</w:t>
            </w:r>
            <w:proofErr w:type="spellEnd"/>
            <w:r>
              <w:rPr>
                <w:rFonts w:ascii="Aptos" w:hAnsi="Aptos" w:cs="Arial"/>
                <w:sz w:val="20"/>
                <w:szCs w:val="20"/>
                <w:lang w:val="en-IE"/>
              </w:rPr>
              <w:t xml:space="preserve"> genomes, while the other (NC_049977 Gp80) is present in more than 99% of genomes from both </w:t>
            </w:r>
            <w:proofErr w:type="spellStart"/>
            <w:r>
              <w:rPr>
                <w:rFonts w:ascii="Aptos" w:hAnsi="Aptos" w:cs="Arial"/>
                <w:i/>
                <w:iCs/>
                <w:sz w:val="20"/>
                <w:szCs w:val="20"/>
                <w:lang w:val="en-IE"/>
              </w:rPr>
              <w:t>Crassvirales</w:t>
            </w:r>
            <w:proofErr w:type="spellEnd"/>
            <w:r>
              <w:rPr>
                <w:rFonts w:ascii="Aptos" w:hAnsi="Aptos" w:cs="Arial"/>
                <w:sz w:val="20"/>
                <w:szCs w:val="20"/>
                <w:lang w:val="en-IE"/>
              </w:rPr>
              <w:t xml:space="preserve"> and </w:t>
            </w:r>
            <w:proofErr w:type="spellStart"/>
            <w:r>
              <w:rPr>
                <w:rFonts w:ascii="Aptos" w:hAnsi="Aptos" w:cs="Arial"/>
                <w:i/>
                <w:iCs/>
                <w:sz w:val="20"/>
                <w:szCs w:val="20"/>
                <w:lang w:val="en-IE"/>
              </w:rPr>
              <w:t>Metacrassvirales</w:t>
            </w:r>
            <w:proofErr w:type="spellEnd"/>
            <w:r>
              <w:rPr>
                <w:rFonts w:ascii="Aptos" w:hAnsi="Aptos" w:cs="Arial"/>
                <w:sz w:val="20"/>
                <w:szCs w:val="20"/>
                <w:lang w:val="en-IE"/>
              </w:rPr>
              <w:t>.</w:t>
            </w:r>
          </w:p>
          <w:p w14:paraId="182C5A34" w14:textId="77777777" w:rsidR="00EE11BD" w:rsidRDefault="00F70457">
            <w:pPr>
              <w:rPr>
                <w:rFonts w:ascii="Aptos" w:hAnsi="Aptos" w:cs="Arial"/>
                <w:sz w:val="20"/>
                <w:szCs w:val="20"/>
                <w:lang w:val="en-IE"/>
              </w:rPr>
            </w:pPr>
            <w:proofErr w:type="spellStart"/>
            <w:r>
              <w:rPr>
                <w:rFonts w:ascii="Aptos" w:hAnsi="Aptos" w:cs="Arial"/>
                <w:i/>
                <w:iCs/>
                <w:sz w:val="20"/>
                <w:szCs w:val="20"/>
                <w:lang w:val="en-IE"/>
              </w:rPr>
              <w:t>Metacrassvirales</w:t>
            </w:r>
            <w:proofErr w:type="spellEnd"/>
            <w:r>
              <w:rPr>
                <w:rFonts w:ascii="Aptos" w:hAnsi="Aptos" w:cs="Arial"/>
                <w:sz w:val="20"/>
                <w:szCs w:val="20"/>
                <w:lang w:val="en-IE"/>
              </w:rPr>
              <w:t xml:space="preserve"> and </w:t>
            </w:r>
            <w:proofErr w:type="spellStart"/>
            <w:r>
              <w:rPr>
                <w:rFonts w:ascii="Aptos" w:hAnsi="Aptos" w:cs="Arial"/>
                <w:i/>
                <w:iCs/>
                <w:sz w:val="20"/>
                <w:szCs w:val="20"/>
                <w:lang w:val="en-IE"/>
              </w:rPr>
              <w:t>Paracrassvirales</w:t>
            </w:r>
            <w:proofErr w:type="spellEnd"/>
            <w:r>
              <w:rPr>
                <w:rFonts w:ascii="Aptos" w:hAnsi="Aptos" w:cs="Arial"/>
                <w:sz w:val="20"/>
                <w:szCs w:val="20"/>
                <w:lang w:val="en-IE"/>
              </w:rPr>
              <w:t xml:space="preserve"> were chosen as the names for these sister-clades to represent their similarity to </w:t>
            </w:r>
            <w:proofErr w:type="spellStart"/>
            <w:r>
              <w:rPr>
                <w:rFonts w:ascii="Aptos" w:hAnsi="Aptos" w:cs="Arial"/>
                <w:i/>
                <w:iCs/>
                <w:sz w:val="20"/>
                <w:szCs w:val="20"/>
                <w:lang w:val="en-IE"/>
              </w:rPr>
              <w:t>Crassvirales</w:t>
            </w:r>
            <w:proofErr w:type="spellEnd"/>
            <w:r>
              <w:rPr>
                <w:rFonts w:ascii="Aptos" w:hAnsi="Aptos" w:cs="Arial"/>
                <w:sz w:val="20"/>
                <w:szCs w:val="20"/>
                <w:lang w:val="en-IE"/>
              </w:rPr>
              <w:t>.</w:t>
            </w:r>
          </w:p>
          <w:p w14:paraId="788D4C29" w14:textId="77777777" w:rsidR="00EE11BD" w:rsidRDefault="00F70457">
            <w:pPr>
              <w:rPr>
                <w:rFonts w:ascii="Aptos" w:hAnsi="Aptos" w:cs="Arial"/>
                <w:b/>
                <w:bCs/>
                <w:sz w:val="20"/>
                <w:szCs w:val="20"/>
                <w:lang w:val="en-IE"/>
              </w:rPr>
            </w:pPr>
            <w:r>
              <w:rPr>
                <w:rFonts w:ascii="Aptos" w:hAnsi="Aptos" w:cs="Arial"/>
                <w:b/>
                <w:bCs/>
                <w:sz w:val="20"/>
                <w:szCs w:val="20"/>
                <w:lang w:val="en-IE"/>
              </w:rPr>
              <w:t>Families:</w:t>
            </w:r>
          </w:p>
          <w:p w14:paraId="5FAFC7D7" w14:textId="67B66888" w:rsidR="00EE11BD" w:rsidRDefault="00F70457">
            <w:pPr>
              <w:rPr>
                <w:rFonts w:ascii="Aptos" w:hAnsi="Aptos" w:cs="Arial"/>
                <w:sz w:val="20"/>
                <w:szCs w:val="20"/>
                <w:lang w:val="en-IE"/>
              </w:rPr>
            </w:pPr>
            <w:r w:rsidRPr="002837B7">
              <w:rPr>
                <w:rFonts w:ascii="Aptos" w:hAnsi="Aptos" w:cs="Arial"/>
                <w:sz w:val="20"/>
                <w:szCs w:val="20"/>
                <w:lang w:val="en-IE"/>
              </w:rPr>
              <w:t xml:space="preserve">We propose the creation of </w:t>
            </w:r>
            <w:r w:rsidR="002837B7" w:rsidRPr="002837B7">
              <w:rPr>
                <w:rFonts w:ascii="Aptos" w:hAnsi="Aptos" w:cs="Arial"/>
                <w:sz w:val="20"/>
                <w:szCs w:val="20"/>
                <w:lang w:val="en-IE"/>
              </w:rPr>
              <w:t>three</w:t>
            </w:r>
            <w:r w:rsidRPr="002837B7">
              <w:rPr>
                <w:rFonts w:ascii="Aptos" w:hAnsi="Aptos" w:cs="Arial"/>
                <w:sz w:val="20"/>
                <w:szCs w:val="20"/>
                <w:lang w:val="en-IE"/>
              </w:rPr>
              <w:t xml:space="preserve"> new families, </w:t>
            </w:r>
            <w:proofErr w:type="spellStart"/>
            <w:r w:rsidRPr="002837B7">
              <w:rPr>
                <w:rFonts w:ascii="Aptos" w:hAnsi="Aptos" w:cs="Arial"/>
                <w:i/>
                <w:iCs/>
                <w:sz w:val="20"/>
                <w:szCs w:val="20"/>
                <w:lang w:val="en-IE"/>
              </w:rPr>
              <w:t>Tinaiviridae</w:t>
            </w:r>
            <w:proofErr w:type="spellEnd"/>
            <w:r w:rsidRPr="002837B7">
              <w:rPr>
                <w:rFonts w:ascii="Aptos" w:hAnsi="Aptos"/>
                <w:sz w:val="20"/>
                <w:szCs w:val="20"/>
                <w:lang w:val="en-IE"/>
              </w:rPr>
              <w:t xml:space="preserve"> belonging to </w:t>
            </w:r>
            <w:proofErr w:type="spellStart"/>
            <w:r w:rsidRPr="002837B7">
              <w:rPr>
                <w:rFonts w:ascii="Aptos" w:hAnsi="Aptos"/>
                <w:i/>
                <w:iCs/>
                <w:sz w:val="20"/>
                <w:szCs w:val="20"/>
                <w:lang w:val="en-IE"/>
              </w:rPr>
              <w:t>Paracrassvirales</w:t>
            </w:r>
            <w:proofErr w:type="spellEnd"/>
            <w:r w:rsidRPr="002837B7">
              <w:rPr>
                <w:rFonts w:ascii="Aptos" w:hAnsi="Aptos"/>
                <w:sz w:val="20"/>
                <w:szCs w:val="20"/>
                <w:lang w:val="en-IE"/>
              </w:rPr>
              <w:t xml:space="preserve">, </w:t>
            </w:r>
            <w:proofErr w:type="spellStart"/>
            <w:r w:rsidRPr="002837B7">
              <w:rPr>
                <w:rFonts w:ascii="Aptos" w:hAnsi="Aptos"/>
                <w:i/>
                <w:iCs/>
                <w:sz w:val="20"/>
                <w:szCs w:val="20"/>
                <w:lang w:val="en-IE"/>
              </w:rPr>
              <w:t>Tripiviridae</w:t>
            </w:r>
            <w:proofErr w:type="spellEnd"/>
            <w:r w:rsidRPr="002837B7">
              <w:rPr>
                <w:rFonts w:ascii="Aptos" w:hAnsi="Aptos"/>
                <w:sz w:val="20"/>
                <w:szCs w:val="20"/>
                <w:lang w:val="en-IE"/>
              </w:rPr>
              <w:t xml:space="preserve"> belonging to </w:t>
            </w:r>
            <w:proofErr w:type="spellStart"/>
            <w:r w:rsidRPr="002837B7">
              <w:rPr>
                <w:rFonts w:ascii="Aptos" w:hAnsi="Aptos"/>
                <w:i/>
                <w:iCs/>
                <w:sz w:val="20"/>
                <w:szCs w:val="20"/>
                <w:lang w:val="en-IE"/>
              </w:rPr>
              <w:t>Metacrassvirales</w:t>
            </w:r>
            <w:proofErr w:type="spellEnd"/>
            <w:r w:rsidRPr="002837B7">
              <w:rPr>
                <w:rFonts w:ascii="Aptos" w:hAnsi="Aptos"/>
                <w:sz w:val="20"/>
                <w:szCs w:val="20"/>
                <w:lang w:val="en-IE"/>
              </w:rPr>
              <w:t xml:space="preserve"> and </w:t>
            </w:r>
            <w:proofErr w:type="spellStart"/>
            <w:r w:rsidRPr="002837B7">
              <w:rPr>
                <w:rFonts w:ascii="Aptos" w:hAnsi="Aptos"/>
                <w:i/>
                <w:iCs/>
                <w:sz w:val="20"/>
                <w:szCs w:val="20"/>
                <w:lang w:val="en-IE"/>
              </w:rPr>
              <w:t>Darmviridae</w:t>
            </w:r>
            <w:proofErr w:type="spellEnd"/>
            <w:r w:rsidRPr="002837B7">
              <w:rPr>
                <w:rFonts w:ascii="Aptos" w:hAnsi="Aptos"/>
                <w:sz w:val="20"/>
                <w:szCs w:val="20"/>
                <w:lang w:val="en-IE"/>
              </w:rPr>
              <w:t xml:space="preserve"> belonging to </w:t>
            </w:r>
            <w:proofErr w:type="spellStart"/>
            <w:r w:rsidRPr="002837B7">
              <w:rPr>
                <w:rFonts w:ascii="Aptos" w:hAnsi="Aptos"/>
                <w:i/>
                <w:iCs/>
                <w:sz w:val="20"/>
                <w:szCs w:val="20"/>
                <w:lang w:val="en-IE"/>
              </w:rPr>
              <w:t>Crassvirales</w:t>
            </w:r>
            <w:proofErr w:type="spellEnd"/>
            <w:r w:rsidRPr="002837B7">
              <w:rPr>
                <w:rFonts w:ascii="Aptos" w:hAnsi="Aptos"/>
                <w:sz w:val="20"/>
                <w:szCs w:val="20"/>
                <w:lang w:val="en-IE"/>
              </w:rPr>
              <w:t>.</w:t>
            </w:r>
            <w:r>
              <w:rPr>
                <w:rFonts w:ascii="Aptos" w:hAnsi="Aptos"/>
                <w:sz w:val="20"/>
                <w:szCs w:val="20"/>
                <w:lang w:val="en-IE"/>
              </w:rPr>
              <w:t xml:space="preserve"> The proposed families form monophyletic clades in structural phylogenetic analysis (Figure 1-6, 13) of both single-protein and core proteomes, as well as</w:t>
            </w:r>
            <w:r>
              <w:rPr>
                <w:rFonts w:ascii="Aptos" w:hAnsi="Aptos" w:cs="Arial"/>
                <w:sz w:val="20"/>
                <w:szCs w:val="20"/>
                <w:lang w:val="en-IE"/>
              </w:rPr>
              <w:t xml:space="preserve"> maximum likelihood phylogenies (Figure 7,12). And create separate clusters based on shared gene clusters (Figure 9-11) and according to </w:t>
            </w:r>
            <w:proofErr w:type="spellStart"/>
            <w:r>
              <w:rPr>
                <w:rFonts w:ascii="Aptos" w:hAnsi="Aptos" w:cs="Arial"/>
                <w:sz w:val="20"/>
                <w:szCs w:val="20"/>
                <w:lang w:val="en-IE"/>
              </w:rPr>
              <w:t>tANI</w:t>
            </w:r>
            <w:proofErr w:type="spellEnd"/>
            <w:r>
              <w:rPr>
                <w:rFonts w:ascii="Aptos" w:hAnsi="Aptos" w:cs="Arial"/>
                <w:sz w:val="20"/>
                <w:szCs w:val="20"/>
                <w:lang w:val="en-IE"/>
              </w:rPr>
              <w:t xml:space="preserve"> (Figure 8,10). While </w:t>
            </w:r>
            <w:proofErr w:type="spellStart"/>
            <w:r>
              <w:rPr>
                <w:rFonts w:ascii="Aptos" w:hAnsi="Aptos" w:cs="Arial"/>
                <w:i/>
                <w:iCs/>
                <w:sz w:val="20"/>
                <w:szCs w:val="20"/>
                <w:lang w:val="en-IE"/>
              </w:rPr>
              <w:t>Darmviridae</w:t>
            </w:r>
            <w:proofErr w:type="spellEnd"/>
            <w:r>
              <w:rPr>
                <w:rFonts w:ascii="Aptos" w:hAnsi="Aptos" w:cs="Arial"/>
                <w:sz w:val="20"/>
                <w:szCs w:val="20"/>
                <w:lang w:val="en-IE"/>
              </w:rPr>
              <w:t xml:space="preserve"> could be placed as a subfamily within </w:t>
            </w:r>
            <w:proofErr w:type="spellStart"/>
            <w:r>
              <w:rPr>
                <w:rFonts w:ascii="Aptos" w:hAnsi="Aptos" w:cs="Arial"/>
                <w:i/>
                <w:iCs/>
                <w:sz w:val="20"/>
                <w:szCs w:val="20"/>
                <w:lang w:val="en-IE"/>
              </w:rPr>
              <w:t>Suoliviridae</w:t>
            </w:r>
            <w:proofErr w:type="spellEnd"/>
            <w:r>
              <w:rPr>
                <w:rFonts w:ascii="Aptos" w:hAnsi="Aptos" w:cs="Arial"/>
                <w:sz w:val="20"/>
                <w:szCs w:val="20"/>
                <w:lang w:val="en-IE"/>
              </w:rPr>
              <w:t xml:space="preserve">, we have chosen to establish it as a distinct family. This decision aligns with our broader move to eliminate all previously defined subfamilies, whose demarcation criteria were overly broad and inconsistently applied. Recognising </w:t>
            </w:r>
            <w:proofErr w:type="spellStart"/>
            <w:r>
              <w:rPr>
                <w:rFonts w:ascii="Aptos" w:hAnsi="Aptos" w:cs="Arial"/>
                <w:i/>
                <w:iCs/>
                <w:sz w:val="20"/>
                <w:szCs w:val="20"/>
                <w:lang w:val="en-IE"/>
              </w:rPr>
              <w:t>Darmviridae</w:t>
            </w:r>
            <w:proofErr w:type="spellEnd"/>
            <w:r>
              <w:rPr>
                <w:rFonts w:ascii="Aptos" w:hAnsi="Aptos" w:cs="Arial"/>
                <w:sz w:val="20"/>
                <w:szCs w:val="20"/>
                <w:lang w:val="en-IE"/>
              </w:rPr>
              <w:t xml:space="preserve"> at the family level helps preserve meaningful hierarchical resolution and avoids compressing the distinction between family and subfamily to the point of diminishing its taxonomic value.</w:t>
            </w:r>
          </w:p>
          <w:p w14:paraId="75926230" w14:textId="77777777" w:rsidR="00EE11BD" w:rsidRDefault="00F70457">
            <w:pPr>
              <w:rPr>
                <w:b/>
                <w:bCs/>
                <w:sz w:val="20"/>
                <w:szCs w:val="20"/>
                <w:lang w:val="en-IE"/>
              </w:rPr>
            </w:pPr>
            <w:r>
              <w:rPr>
                <w:b/>
                <w:bCs/>
                <w:sz w:val="20"/>
                <w:szCs w:val="20"/>
                <w:lang w:val="en-IE"/>
              </w:rPr>
              <w:t>Subfamilies:</w:t>
            </w:r>
          </w:p>
          <w:p w14:paraId="0BCDB889" w14:textId="77777777" w:rsidR="00EE11BD" w:rsidRDefault="00F70457">
            <w:pPr>
              <w:rPr>
                <w:rFonts w:ascii="Aptos" w:hAnsi="Aptos"/>
                <w:sz w:val="20"/>
                <w:szCs w:val="20"/>
                <w:lang w:val="en-IE"/>
              </w:rPr>
            </w:pPr>
            <w:r>
              <w:rPr>
                <w:rFonts w:ascii="Aptos" w:hAnsi="Aptos"/>
                <w:sz w:val="20"/>
                <w:szCs w:val="20"/>
                <w:lang w:val="en-IE"/>
              </w:rPr>
              <w:t>We argue that the current criteria, which require “27-79% of proteins shared within each subfamily in all possible pairwise comparisons,” are too broad, allowing for multiple conflicting subfamilies to exist simultaneously (Figures 14-15) and are not conducive to intuitive taxonomy. Due to the range of possible thresholds, subfamilies can exist as subsets of other subfamilies; with the set of 603 species used for this proposal, 415 unique and valid subfamilies can be created.  The 27-79% criterion was proposed to capture distinct monophyletic clades within families for which no explicit cutoff would suffice across all families. However, no cutoffs were ever provided for the individual subfamilies, creating confusion about how these clades should be expanded in the future and when new subfamilies should be created.</w:t>
            </w:r>
          </w:p>
          <w:p w14:paraId="6E2D253A" w14:textId="77777777" w:rsidR="00EE11BD" w:rsidRDefault="00EE11BD">
            <w:pPr>
              <w:rPr>
                <w:rFonts w:ascii="Aptos" w:hAnsi="Aptos"/>
                <w:sz w:val="20"/>
                <w:szCs w:val="20"/>
                <w:lang w:val="en-IE"/>
              </w:rPr>
            </w:pPr>
          </w:p>
          <w:p w14:paraId="54FA0A85" w14:textId="77777777" w:rsidR="00EE11BD" w:rsidRDefault="00F70457">
            <w:pPr>
              <w:rPr>
                <w:rFonts w:ascii="Aptos" w:hAnsi="Aptos"/>
                <w:sz w:val="20"/>
                <w:szCs w:val="20"/>
                <w:lang w:val="en-IE"/>
              </w:rPr>
            </w:pPr>
            <w:r>
              <w:rPr>
                <w:rFonts w:ascii="Aptos" w:hAnsi="Aptos"/>
                <w:sz w:val="20"/>
                <w:szCs w:val="20"/>
                <w:lang w:val="en-IE"/>
              </w:rPr>
              <w:t xml:space="preserve">This confusion can be seen in the proposal of </w:t>
            </w:r>
            <w:proofErr w:type="spellStart"/>
            <w:r>
              <w:rPr>
                <w:rFonts w:ascii="Aptos" w:hAnsi="Aptos"/>
                <w:i/>
                <w:iCs/>
                <w:sz w:val="20"/>
                <w:szCs w:val="20"/>
                <w:lang w:val="en-IE"/>
              </w:rPr>
              <w:t>Rudgehvirus</w:t>
            </w:r>
            <w:proofErr w:type="spellEnd"/>
            <w:r>
              <w:rPr>
                <w:rFonts w:ascii="Aptos" w:hAnsi="Aptos"/>
                <w:i/>
                <w:iCs/>
                <w:sz w:val="20"/>
                <w:szCs w:val="20"/>
                <w:lang w:val="en-IE"/>
              </w:rPr>
              <w:t xml:space="preserve"> </w:t>
            </w:r>
            <w:proofErr w:type="spellStart"/>
            <w:r>
              <w:rPr>
                <w:rFonts w:ascii="Aptos" w:hAnsi="Aptos"/>
                <w:i/>
                <w:iCs/>
                <w:sz w:val="20"/>
                <w:szCs w:val="20"/>
                <w:lang w:val="en-IE"/>
              </w:rPr>
              <w:t>jaberico</w:t>
            </w:r>
            <w:proofErr w:type="spellEnd"/>
            <w:r>
              <w:rPr>
                <w:rFonts w:ascii="Aptos" w:hAnsi="Aptos"/>
                <w:sz w:val="20"/>
                <w:szCs w:val="20"/>
                <w:lang w:val="en-IE"/>
              </w:rPr>
              <w:t xml:space="preserve"> (2023.018B), as unlike the other novel species in the proposal </w:t>
            </w:r>
            <w:proofErr w:type="spellStart"/>
            <w:r>
              <w:rPr>
                <w:rFonts w:ascii="Aptos" w:hAnsi="Aptos"/>
                <w:i/>
                <w:iCs/>
                <w:sz w:val="20"/>
                <w:szCs w:val="20"/>
                <w:lang w:val="en-IE"/>
              </w:rPr>
              <w:t>Kehishuvirus</w:t>
            </w:r>
            <w:proofErr w:type="spellEnd"/>
            <w:r>
              <w:rPr>
                <w:rFonts w:ascii="Aptos" w:hAnsi="Aptos"/>
                <w:i/>
                <w:iCs/>
                <w:sz w:val="20"/>
                <w:szCs w:val="20"/>
                <w:lang w:val="en-IE"/>
              </w:rPr>
              <w:t xml:space="preserve"> </w:t>
            </w:r>
            <w:proofErr w:type="spellStart"/>
            <w:r>
              <w:rPr>
                <w:rFonts w:ascii="Aptos" w:hAnsi="Aptos"/>
                <w:i/>
                <w:iCs/>
                <w:sz w:val="20"/>
                <w:szCs w:val="20"/>
                <w:lang w:val="en-IE"/>
              </w:rPr>
              <w:t>tikkala</w:t>
            </w:r>
            <w:proofErr w:type="spellEnd"/>
            <w:r>
              <w:rPr>
                <w:rFonts w:ascii="Aptos" w:hAnsi="Aptos"/>
                <w:sz w:val="20"/>
                <w:szCs w:val="20"/>
                <w:lang w:val="en-IE"/>
              </w:rPr>
              <w:t xml:space="preserve"> and </w:t>
            </w:r>
            <w:proofErr w:type="spellStart"/>
            <w:r>
              <w:rPr>
                <w:rFonts w:ascii="Aptos" w:hAnsi="Aptos"/>
                <w:i/>
                <w:iCs/>
                <w:sz w:val="20"/>
                <w:szCs w:val="20"/>
                <w:lang w:val="en-IE"/>
              </w:rPr>
              <w:t>Kolpuevirus</w:t>
            </w:r>
            <w:proofErr w:type="spellEnd"/>
            <w:r>
              <w:rPr>
                <w:rFonts w:ascii="Aptos" w:hAnsi="Aptos"/>
                <w:i/>
                <w:iCs/>
                <w:sz w:val="20"/>
                <w:szCs w:val="20"/>
                <w:lang w:val="en-IE"/>
              </w:rPr>
              <w:t xml:space="preserve"> </w:t>
            </w:r>
            <w:proofErr w:type="spellStart"/>
            <w:r>
              <w:rPr>
                <w:rFonts w:ascii="Aptos" w:hAnsi="Aptos"/>
                <w:i/>
                <w:iCs/>
                <w:sz w:val="20"/>
                <w:szCs w:val="20"/>
                <w:lang w:val="en-IE"/>
              </w:rPr>
              <w:t>frurule</w:t>
            </w:r>
            <w:proofErr w:type="spellEnd"/>
            <w:r>
              <w:rPr>
                <w:rFonts w:ascii="Aptos" w:hAnsi="Aptos"/>
                <w:sz w:val="20"/>
                <w:szCs w:val="20"/>
                <w:lang w:val="en-IE"/>
              </w:rPr>
              <w:t xml:space="preserve">, its subfamily couldn’t be inferred from the genus, and despite knowing the percentage of proteins it shared with all members in the family, no subfamily was assigned to it.  With the 10-fold increase in members that our proposal introduces and a complete overhaul of all taxonomic levels, the groups previously observed across 73 species have become less clear, and through the extrapolation of </w:t>
            </w:r>
            <w:proofErr w:type="spellStart"/>
            <w:r>
              <w:rPr>
                <w:rFonts w:ascii="Aptos" w:hAnsi="Aptos"/>
                <w:i/>
                <w:iCs/>
                <w:sz w:val="20"/>
                <w:szCs w:val="20"/>
                <w:lang w:val="en-IE"/>
              </w:rPr>
              <w:t>Loutivirinae</w:t>
            </w:r>
            <w:proofErr w:type="spellEnd"/>
            <w:r>
              <w:rPr>
                <w:rFonts w:ascii="Aptos" w:hAnsi="Aptos"/>
                <w:sz w:val="20"/>
                <w:szCs w:val="20"/>
                <w:lang w:val="en-IE"/>
              </w:rPr>
              <w:t xml:space="preserve"> and </w:t>
            </w:r>
            <w:proofErr w:type="spellStart"/>
            <w:r>
              <w:rPr>
                <w:rFonts w:ascii="Aptos" w:hAnsi="Aptos"/>
                <w:i/>
                <w:iCs/>
                <w:sz w:val="20"/>
                <w:szCs w:val="20"/>
                <w:lang w:val="en-IE"/>
              </w:rPr>
              <w:t>Uncouvirinae</w:t>
            </w:r>
            <w:proofErr w:type="spellEnd"/>
            <w:r>
              <w:rPr>
                <w:rFonts w:ascii="Aptos" w:hAnsi="Aptos"/>
                <w:sz w:val="20"/>
                <w:szCs w:val="20"/>
                <w:lang w:val="en-IE"/>
              </w:rPr>
              <w:t xml:space="preserve">, have ceased to represent monophyletic clades (Figures 15-17). Because </w:t>
            </w:r>
            <w:proofErr w:type="spellStart"/>
            <w:r>
              <w:rPr>
                <w:rFonts w:ascii="Aptos" w:hAnsi="Aptos"/>
                <w:i/>
                <w:iCs/>
                <w:sz w:val="20"/>
                <w:szCs w:val="20"/>
                <w:lang w:val="en-IE"/>
              </w:rPr>
              <w:t>Loutivirinae</w:t>
            </w:r>
            <w:proofErr w:type="spellEnd"/>
            <w:r>
              <w:rPr>
                <w:rFonts w:ascii="Aptos" w:hAnsi="Aptos"/>
                <w:sz w:val="20"/>
                <w:szCs w:val="20"/>
                <w:lang w:val="en-IE"/>
              </w:rPr>
              <w:t xml:space="preserve"> exists as a potential subset within </w:t>
            </w:r>
            <w:proofErr w:type="spellStart"/>
            <w:r>
              <w:rPr>
                <w:rFonts w:ascii="Aptos" w:hAnsi="Aptos"/>
                <w:i/>
                <w:iCs/>
                <w:sz w:val="20"/>
                <w:szCs w:val="20"/>
                <w:lang w:val="en-IE"/>
              </w:rPr>
              <w:t>Uncouvirinae</w:t>
            </w:r>
            <w:proofErr w:type="spellEnd"/>
            <w:r>
              <w:rPr>
                <w:rFonts w:ascii="Aptos" w:hAnsi="Aptos"/>
                <w:sz w:val="20"/>
                <w:szCs w:val="20"/>
                <w:lang w:val="en-IE"/>
              </w:rPr>
              <w:t xml:space="preserve">, there is no clear answer regarding the classification of these members or how these criteria could be adjusted to better reflect the signal these subfamilies were attempting to capture. As more members are classified within these families, it becomes almost inevitable that similar discrepancies will emerge for any family that allows subfamilies to compete for members. </w:t>
            </w:r>
          </w:p>
          <w:p w14:paraId="17727240" w14:textId="77777777" w:rsidR="00EE11BD" w:rsidRDefault="00EE11BD">
            <w:pPr>
              <w:rPr>
                <w:rFonts w:ascii="Aptos" w:hAnsi="Aptos"/>
                <w:sz w:val="20"/>
                <w:szCs w:val="20"/>
                <w:lang w:val="en-IE"/>
              </w:rPr>
            </w:pPr>
          </w:p>
          <w:p w14:paraId="1C95C43D" w14:textId="77777777" w:rsidR="00EE11BD" w:rsidRDefault="00F70457">
            <w:pPr>
              <w:rPr>
                <w:rFonts w:ascii="Aptos" w:hAnsi="Aptos"/>
                <w:sz w:val="20"/>
                <w:szCs w:val="20"/>
                <w:lang w:val="en-IE"/>
              </w:rPr>
            </w:pPr>
            <w:r>
              <w:rPr>
                <w:rFonts w:ascii="Aptos" w:hAnsi="Aptos"/>
                <w:sz w:val="20"/>
                <w:szCs w:val="20"/>
                <w:lang w:val="en-IE"/>
              </w:rPr>
              <w:t xml:space="preserve">There is no universal threshold that can be selected to expand the existing subfamilies while still respecting the phylogeny (Figures 14-15). The expansion of conflicting subfamilies would either break down existing subfamilies or merge them into a single encompassing subfamily. Both options cause the subfamilies to cease serving as intermediates between the family and the genus level. Splitting the subfamilies down would cause most of them to contain only one genus, as is currently already the case for </w:t>
            </w:r>
            <w:proofErr w:type="spellStart"/>
            <w:r>
              <w:rPr>
                <w:rFonts w:ascii="Aptos" w:hAnsi="Aptos"/>
                <w:i/>
                <w:iCs/>
                <w:sz w:val="20"/>
                <w:szCs w:val="20"/>
                <w:lang w:val="en-IE"/>
              </w:rPr>
              <w:t>Coarsevirinae</w:t>
            </w:r>
            <w:proofErr w:type="spellEnd"/>
            <w:r>
              <w:rPr>
                <w:rFonts w:ascii="Aptos" w:hAnsi="Aptos"/>
                <w:sz w:val="20"/>
                <w:szCs w:val="20"/>
                <w:lang w:val="en-IE"/>
              </w:rPr>
              <w:t xml:space="preserve"> and </w:t>
            </w:r>
            <w:proofErr w:type="spellStart"/>
            <w:r>
              <w:rPr>
                <w:rFonts w:ascii="Aptos" w:hAnsi="Aptos"/>
                <w:i/>
                <w:iCs/>
                <w:sz w:val="20"/>
                <w:szCs w:val="20"/>
                <w:lang w:val="en-IE"/>
              </w:rPr>
              <w:t>Churivirinae</w:t>
            </w:r>
            <w:proofErr w:type="spellEnd"/>
            <w:r>
              <w:rPr>
                <w:rFonts w:ascii="Aptos" w:hAnsi="Aptos"/>
                <w:sz w:val="20"/>
                <w:szCs w:val="20"/>
                <w:lang w:val="en-IE"/>
              </w:rPr>
              <w:t xml:space="preserve">. Merging these subfamilies would place </w:t>
            </w:r>
            <w:proofErr w:type="spellStart"/>
            <w:r w:rsidRPr="00731C46">
              <w:rPr>
                <w:rFonts w:ascii="Aptos" w:hAnsi="Aptos"/>
                <w:i/>
                <w:iCs/>
                <w:sz w:val="20"/>
                <w:szCs w:val="20"/>
                <w:lang w:val="en-IE"/>
              </w:rPr>
              <w:t>Intestiviridae</w:t>
            </w:r>
            <w:proofErr w:type="spellEnd"/>
            <w:r>
              <w:rPr>
                <w:rFonts w:ascii="Aptos" w:hAnsi="Aptos"/>
                <w:sz w:val="20"/>
                <w:szCs w:val="20"/>
                <w:lang w:val="en-IE"/>
              </w:rPr>
              <w:t xml:space="preserve"> in the same situation as </w:t>
            </w:r>
            <w:proofErr w:type="spellStart"/>
            <w:r>
              <w:rPr>
                <w:rFonts w:ascii="Aptos" w:hAnsi="Aptos"/>
                <w:i/>
                <w:iCs/>
                <w:sz w:val="20"/>
                <w:szCs w:val="20"/>
                <w:lang w:val="en-IE"/>
              </w:rPr>
              <w:t>Darmviridae</w:t>
            </w:r>
            <w:proofErr w:type="spellEnd"/>
            <w:r>
              <w:rPr>
                <w:rFonts w:ascii="Aptos" w:hAnsi="Aptos"/>
                <w:sz w:val="20"/>
                <w:szCs w:val="20"/>
                <w:lang w:val="en-IE"/>
              </w:rPr>
              <w:t xml:space="preserve"> and </w:t>
            </w:r>
            <w:proofErr w:type="spellStart"/>
            <w:r>
              <w:rPr>
                <w:rFonts w:ascii="Aptos" w:hAnsi="Aptos"/>
                <w:i/>
                <w:iCs/>
                <w:sz w:val="20"/>
                <w:szCs w:val="20"/>
                <w:lang w:val="en-IE"/>
              </w:rPr>
              <w:t>Steigviridae</w:t>
            </w:r>
            <w:proofErr w:type="spellEnd"/>
            <w:r>
              <w:rPr>
                <w:rFonts w:ascii="Aptos" w:hAnsi="Aptos"/>
                <w:sz w:val="20"/>
                <w:szCs w:val="20"/>
                <w:lang w:val="en-IE"/>
              </w:rPr>
              <w:t>, which contain only one subfamily and therefore convey the same information as the family.</w:t>
            </w:r>
          </w:p>
          <w:p w14:paraId="38961A79" w14:textId="77777777" w:rsidR="00EE11BD" w:rsidRDefault="00EE11BD">
            <w:pPr>
              <w:rPr>
                <w:rFonts w:ascii="Aptos" w:hAnsi="Aptos"/>
                <w:sz w:val="20"/>
                <w:szCs w:val="20"/>
                <w:lang w:val="en-IE"/>
              </w:rPr>
            </w:pPr>
          </w:p>
          <w:p w14:paraId="71826447" w14:textId="77777777" w:rsidR="00EE11BD" w:rsidRDefault="00F70457">
            <w:pPr>
              <w:rPr>
                <w:rFonts w:ascii="Aptos" w:hAnsi="Aptos"/>
                <w:sz w:val="20"/>
                <w:szCs w:val="20"/>
                <w:lang w:val="en-IE"/>
              </w:rPr>
            </w:pPr>
            <w:r>
              <w:rPr>
                <w:rFonts w:ascii="Aptos" w:hAnsi="Aptos"/>
                <w:sz w:val="20"/>
                <w:szCs w:val="20"/>
                <w:lang w:val="en-IE"/>
              </w:rPr>
              <w:t xml:space="preserve">While we believe the current system is not workable and should be replaced, we were unable to find any criteria that would produce biologically relevant and phylogenetically consistent clades. Problematic criteria lead to problematic classifications, and forcing arbitrary criteria to maintain </w:t>
            </w:r>
            <w:r>
              <w:rPr>
                <w:rFonts w:ascii="Aptos" w:hAnsi="Aptos"/>
                <w:sz w:val="20"/>
                <w:szCs w:val="20"/>
                <w:lang w:val="en-IE"/>
              </w:rPr>
              <w:lastRenderedPageBreak/>
              <w:t>previous classifications puts the cart before the horse, defeating the purpose and usefulness of taxonomy.</w:t>
            </w:r>
          </w:p>
          <w:p w14:paraId="324DED35" w14:textId="6E4ED551" w:rsidR="00EE11BD" w:rsidRDefault="00F70457">
            <w:pPr>
              <w:rPr>
                <w:rFonts w:ascii="Aptos" w:hAnsi="Aptos"/>
                <w:sz w:val="20"/>
                <w:szCs w:val="20"/>
                <w:lang w:val="en-IE"/>
              </w:rPr>
            </w:pPr>
            <w:r>
              <w:rPr>
                <w:rFonts w:ascii="Aptos" w:hAnsi="Aptos"/>
                <w:sz w:val="20"/>
                <w:szCs w:val="20"/>
                <w:lang w:val="en-IE"/>
              </w:rPr>
              <w:t>Since we do</w:t>
            </w:r>
            <w:r w:rsidR="002837B7">
              <w:rPr>
                <w:rFonts w:ascii="Aptos" w:hAnsi="Aptos"/>
                <w:sz w:val="20"/>
                <w:szCs w:val="20"/>
                <w:lang w:val="en-IE"/>
              </w:rPr>
              <w:t xml:space="preserve"> </w:t>
            </w:r>
            <w:r>
              <w:rPr>
                <w:rFonts w:ascii="Aptos" w:hAnsi="Aptos"/>
                <w:sz w:val="20"/>
                <w:szCs w:val="20"/>
                <w:lang w:val="en-IE"/>
              </w:rPr>
              <w:t>n</w:t>
            </w:r>
            <w:r w:rsidR="002837B7">
              <w:rPr>
                <w:rFonts w:ascii="Aptos" w:hAnsi="Aptos"/>
                <w:sz w:val="20"/>
                <w:szCs w:val="20"/>
                <w:lang w:val="en-IE"/>
              </w:rPr>
              <w:t>o</w:t>
            </w:r>
            <w:r>
              <w:rPr>
                <w:rFonts w:ascii="Aptos" w:hAnsi="Aptos"/>
                <w:sz w:val="20"/>
                <w:szCs w:val="20"/>
                <w:lang w:val="en-IE"/>
              </w:rPr>
              <w:t xml:space="preserve">t have a better alternative and do not wish to discard existing knowledge, we think it best to maintain the current classifications and re-evaluate this situation once more members of each family are identified and more relevant patterns, such as ecological, morphological or host-associated characteristics, can be identified. </w:t>
            </w:r>
          </w:p>
          <w:p w14:paraId="7291D601" w14:textId="77777777" w:rsidR="00EE11BD" w:rsidRDefault="00F70457">
            <w:pPr>
              <w:rPr>
                <w:b/>
                <w:bCs/>
                <w:sz w:val="20"/>
                <w:szCs w:val="20"/>
                <w:lang w:val="en-IE"/>
              </w:rPr>
            </w:pPr>
            <w:r>
              <w:rPr>
                <w:b/>
                <w:bCs/>
                <w:sz w:val="20"/>
                <w:szCs w:val="20"/>
                <w:lang w:val="en-IE"/>
              </w:rPr>
              <w:t>Genus and species:</w:t>
            </w:r>
          </w:p>
          <w:p w14:paraId="5FCBD6B4" w14:textId="77777777" w:rsidR="00EE11BD" w:rsidRDefault="00F70457">
            <w:pPr>
              <w:rPr>
                <w:rFonts w:ascii="Aptos" w:hAnsi="Aptos"/>
                <w:sz w:val="20"/>
                <w:szCs w:val="20"/>
                <w:lang w:val="en-IE"/>
              </w:rPr>
            </w:pPr>
            <w:r>
              <w:rPr>
                <w:rFonts w:ascii="Aptos" w:hAnsi="Aptos"/>
                <w:sz w:val="20"/>
                <w:szCs w:val="20"/>
                <w:lang w:val="en-IE"/>
              </w:rPr>
              <w:t xml:space="preserve">We propose the creation of 38 new genera and 99 new species. A table with the total, global and average nucleotide identity, including coverage between all genomes, is available in the supplementary data. </w:t>
            </w:r>
          </w:p>
          <w:p w14:paraId="29F8986D" w14:textId="77777777" w:rsidR="00EE11BD" w:rsidRDefault="00F70457">
            <w:pPr>
              <w:rPr>
                <w:rFonts w:ascii="Aptos" w:hAnsi="Aptos"/>
                <w:bCs/>
                <w:sz w:val="20"/>
                <w:szCs w:val="20"/>
                <w:lang w:val="en-IE"/>
              </w:rPr>
            </w:pPr>
            <w:r>
              <w:rPr>
                <w:rFonts w:ascii="Aptos" w:hAnsi="Aptos"/>
                <w:sz w:val="20"/>
                <w:szCs w:val="20"/>
                <w:lang w:val="en-IE"/>
              </w:rPr>
              <w:t>Genera were named using the previously established method for algorithmically creating names (</w:t>
            </w:r>
            <w:r>
              <w:rPr>
                <w:rFonts w:ascii="Aptos" w:hAnsi="Aptos" w:cs="Arial"/>
                <w:sz w:val="20"/>
                <w:szCs w:val="20"/>
                <w:lang w:val="en-IE"/>
              </w:rPr>
              <w:t>2021.022B</w:t>
            </w:r>
            <w:r>
              <w:rPr>
                <w:rFonts w:ascii="Aptos" w:hAnsi="Aptos"/>
                <w:sz w:val="20"/>
                <w:szCs w:val="20"/>
                <w:lang w:val="en-IE"/>
              </w:rPr>
              <w:t>).</w:t>
            </w:r>
            <w:r>
              <w:rPr>
                <w:rFonts w:ascii="Aptos" w:hAnsi="Aptos"/>
                <w:sz w:val="20"/>
                <w:szCs w:val="20"/>
                <w:lang w:val="en-IE"/>
              </w:rPr>
              <w:br/>
            </w:r>
            <w:r>
              <w:rPr>
                <w:rFonts w:ascii="Aptos" w:hAnsi="Aptos"/>
                <w:bCs/>
                <w:sz w:val="20"/>
                <w:szCs w:val="20"/>
                <w:lang w:val="en-IE"/>
              </w:rPr>
              <w:t>Each letter of the term to be mutated was assigned a random number, 1-3. Characters were then passed through a three step script to create the following changes:</w:t>
            </w:r>
          </w:p>
          <w:p w14:paraId="40FC49B1" w14:textId="77777777" w:rsidR="00EE11BD" w:rsidRDefault="00F70457">
            <w:pPr>
              <w:numPr>
                <w:ilvl w:val="0"/>
                <w:numId w:val="3"/>
              </w:numPr>
              <w:rPr>
                <w:rFonts w:ascii="Aptos" w:hAnsi="Aptos"/>
                <w:bCs/>
                <w:sz w:val="20"/>
                <w:szCs w:val="20"/>
                <w:lang w:val="en-IE"/>
              </w:rPr>
            </w:pPr>
            <w:r>
              <w:rPr>
                <w:rFonts w:ascii="Aptos" w:hAnsi="Aptos"/>
                <w:bCs/>
                <w:sz w:val="20"/>
                <w:szCs w:val="20"/>
                <w:lang w:val="en-IE"/>
              </w:rPr>
              <w:t>'</w:t>
            </w:r>
            <w:r>
              <w:rPr>
                <w:rFonts w:ascii="Aptos" w:hAnsi="Aptos"/>
                <w:bCs/>
                <w:i/>
                <w:iCs/>
                <w:sz w:val="20"/>
                <w:szCs w:val="20"/>
                <w:lang w:val="en-IE"/>
              </w:rPr>
              <w:t>a1'→'ah', 'b1'→'p', 'c1'→'k', 'd1'→'t', 'e1'→'eh', 'g1'→'j', 'i1'→'ih', 'k1'→'c', 'o1'→'oh', 't1'→'d', 'u1'→'uh'</w:t>
            </w:r>
          </w:p>
          <w:p w14:paraId="29A3D8B4" w14:textId="77777777" w:rsidR="00EE11BD" w:rsidRPr="00814827" w:rsidRDefault="00F70457">
            <w:pPr>
              <w:numPr>
                <w:ilvl w:val="0"/>
                <w:numId w:val="3"/>
              </w:numPr>
              <w:rPr>
                <w:rFonts w:ascii="Aptos" w:hAnsi="Aptos"/>
                <w:bCs/>
                <w:i/>
                <w:iCs/>
                <w:sz w:val="20"/>
                <w:szCs w:val="20"/>
                <w:lang w:val="en-IE"/>
              </w:rPr>
            </w:pPr>
            <w:r w:rsidRPr="00814827">
              <w:rPr>
                <w:rFonts w:ascii="Aptos" w:hAnsi="Aptos"/>
                <w:bCs/>
                <w:i/>
                <w:iCs/>
                <w:sz w:val="20"/>
                <w:szCs w:val="20"/>
                <w:lang w:val="en-IE"/>
              </w:rPr>
              <w:t>'a2'→'e', 'e2'→'i', 'i2'→'o', 'o2'→'u', 'u2'→'a'</w:t>
            </w:r>
          </w:p>
          <w:p w14:paraId="0DBD3D39" w14:textId="77777777" w:rsidR="00EE11BD" w:rsidRPr="00814827" w:rsidRDefault="00F70457">
            <w:pPr>
              <w:numPr>
                <w:ilvl w:val="0"/>
                <w:numId w:val="3"/>
              </w:numPr>
              <w:rPr>
                <w:rFonts w:ascii="Aptos" w:hAnsi="Aptos"/>
                <w:bCs/>
                <w:i/>
                <w:iCs/>
                <w:sz w:val="20"/>
                <w:szCs w:val="20"/>
                <w:lang w:val="en-IE"/>
              </w:rPr>
            </w:pPr>
            <w:r w:rsidRPr="00814827">
              <w:rPr>
                <w:rFonts w:ascii="Aptos" w:hAnsi="Aptos"/>
                <w:bCs/>
                <w:i/>
                <w:iCs/>
                <w:sz w:val="20"/>
                <w:szCs w:val="20"/>
                <w:lang w:val="en-IE"/>
              </w:rPr>
              <w:t>'a3'→'i', 'e3'→'o', 'i3'→'u', 'o3'→'a', 'u3'→'e', 'j3'→'g', 'k3'→'c', 'p3'→'b', 't3'→'d'</w:t>
            </w:r>
          </w:p>
          <w:p w14:paraId="2FE2604A" w14:textId="77777777" w:rsidR="00EE11BD" w:rsidRDefault="00F70457">
            <w:pPr>
              <w:rPr>
                <w:rFonts w:ascii="Aptos" w:hAnsi="Aptos"/>
                <w:bCs/>
                <w:sz w:val="20"/>
                <w:szCs w:val="20"/>
                <w:lang w:val="en-IE"/>
              </w:rPr>
            </w:pPr>
            <w:r>
              <w:rPr>
                <w:rFonts w:ascii="Aptos" w:hAnsi="Aptos"/>
                <w:bCs/>
                <w:sz w:val="20"/>
                <w:szCs w:val="20"/>
                <w:lang w:val="en-IE"/>
              </w:rPr>
              <w:t>In order to maximize the likelihood that the mutated term was pronounceable, only the first occurrence of a repeating letter was kept. All long terms were cut after the 7th character and shortened further if needed to the last occurring vowel. This was to prevent a hard consonant before the genus level suffix '</w:t>
            </w:r>
            <w:r>
              <w:rPr>
                <w:rFonts w:ascii="Aptos" w:hAnsi="Aptos"/>
                <w:bCs/>
                <w:i/>
                <w:iCs/>
                <w:sz w:val="20"/>
                <w:szCs w:val="20"/>
                <w:lang w:val="en-IE"/>
              </w:rPr>
              <w:t>-</w:t>
            </w:r>
            <w:proofErr w:type="gramStart"/>
            <w:r>
              <w:rPr>
                <w:rFonts w:ascii="Aptos" w:hAnsi="Aptos"/>
                <w:bCs/>
                <w:i/>
                <w:iCs/>
                <w:sz w:val="20"/>
                <w:szCs w:val="20"/>
                <w:lang w:val="en-IE"/>
              </w:rPr>
              <w:t>virus</w:t>
            </w:r>
            <w:r>
              <w:rPr>
                <w:rFonts w:ascii="Aptos" w:hAnsi="Aptos"/>
                <w:bCs/>
                <w:sz w:val="20"/>
                <w:szCs w:val="20"/>
                <w:lang w:val="en-IE"/>
              </w:rPr>
              <w:t>'</w:t>
            </w:r>
            <w:proofErr w:type="gramEnd"/>
            <w:r>
              <w:rPr>
                <w:rFonts w:ascii="Aptos" w:hAnsi="Aptos"/>
                <w:bCs/>
                <w:sz w:val="20"/>
                <w:szCs w:val="20"/>
                <w:lang w:val="en-IE"/>
              </w:rPr>
              <w:t>. Each mutated word needed to be a minimum of 5 characters in length, have two consonants and two vowels.</w:t>
            </w:r>
          </w:p>
          <w:p w14:paraId="1A94D3A6" w14:textId="77777777" w:rsidR="00EE11BD" w:rsidRDefault="00EE11BD">
            <w:pPr>
              <w:rPr>
                <w:rFonts w:ascii="Aptos" w:hAnsi="Aptos" w:cs="Arial"/>
                <w:b/>
                <w:sz w:val="20"/>
                <w:szCs w:val="20"/>
                <w:lang w:val="en-IE"/>
              </w:rPr>
            </w:pPr>
          </w:p>
        </w:tc>
      </w:tr>
      <w:tr w:rsidR="00EE11BD" w14:paraId="53410F1F" w14:textId="77777777">
        <w:tc>
          <w:tcPr>
            <w:tcW w:w="8926" w:type="dxa"/>
          </w:tcPr>
          <w:p w14:paraId="368624DD" w14:textId="77777777" w:rsidR="00EE11BD" w:rsidRDefault="00EE11BD">
            <w:pPr>
              <w:rPr>
                <w:rFonts w:ascii="Aptos" w:hAnsi="Aptos" w:cs="Arial"/>
                <w:b/>
                <w:i/>
                <w:sz w:val="20"/>
                <w:szCs w:val="20"/>
                <w:lang w:val="en-IE"/>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EE11BD" w14:paraId="20BB3DA1" w14:textId="77777777">
        <w:tc>
          <w:tcPr>
            <w:tcW w:w="8926" w:type="dxa"/>
            <w:shd w:val="clear" w:color="auto" w:fill="F2F2F2" w:themeFill="background1" w:themeFillShade="F2"/>
          </w:tcPr>
          <w:p w14:paraId="01EDF421" w14:textId="77777777" w:rsidR="00EE11BD" w:rsidRDefault="00F70457">
            <w:pPr>
              <w:rPr>
                <w:rFonts w:ascii="Aptos" w:hAnsi="Aptos" w:cs="Arial"/>
                <w:b/>
                <w:sz w:val="20"/>
                <w:szCs w:val="20"/>
                <w:lang w:val="en-IE"/>
              </w:rPr>
            </w:pPr>
            <w:r>
              <w:rPr>
                <w:rFonts w:ascii="Aptos" w:hAnsi="Aptos" w:cs="Arial"/>
                <w:b/>
                <w:sz w:val="20"/>
                <w:szCs w:val="20"/>
                <w:lang w:val="en-IE"/>
              </w:rPr>
              <w:t xml:space="preserve">References:   </w:t>
            </w:r>
          </w:p>
        </w:tc>
      </w:tr>
      <w:tr w:rsidR="00EE11BD" w14:paraId="76659C9D" w14:textId="77777777">
        <w:tc>
          <w:tcPr>
            <w:tcW w:w="8926" w:type="dxa"/>
          </w:tcPr>
          <w:p w14:paraId="4A380056" w14:textId="77777777" w:rsidR="00EE11BD" w:rsidRDefault="00F70457">
            <w:pPr>
              <w:pStyle w:val="Bibliography"/>
              <w:widowControl w:val="0"/>
              <w:rPr>
                <w:rFonts w:ascii="Aptos" w:hAnsi="Aptos"/>
                <w:sz w:val="20"/>
                <w:lang w:val="en-IE"/>
              </w:rPr>
            </w:pPr>
            <w:r>
              <w:fldChar w:fldCharType="begin"/>
            </w:r>
            <w:r>
              <w:rPr>
                <w:rFonts w:ascii="Aptos" w:hAnsi="Aptos"/>
                <w:sz w:val="20"/>
                <w:szCs w:val="20"/>
              </w:rPr>
              <w:instrText>ADDIN ZOTERO_BIBL {"uncited":[],"omitted":[],"custom":[]} CSL_BIBLIOGRAPHY</w:instrText>
            </w:r>
            <w:r>
              <w:rPr>
                <w:rFonts w:ascii="Aptos" w:hAnsi="Aptos"/>
                <w:sz w:val="20"/>
                <w:szCs w:val="20"/>
              </w:rPr>
              <w:fldChar w:fldCharType="separate"/>
            </w:r>
            <w:r>
              <w:rPr>
                <w:rFonts w:ascii="Aptos" w:hAnsi="Aptos"/>
                <w:sz w:val="20"/>
                <w:lang w:val="en-IE"/>
              </w:rPr>
              <w:t>1.</w:t>
            </w:r>
            <w:r>
              <w:rPr>
                <w:rFonts w:ascii="Aptos" w:hAnsi="Aptos"/>
                <w:sz w:val="20"/>
                <w:lang w:val="en-IE"/>
              </w:rPr>
              <w:tab/>
              <w:t xml:space="preserve">Zielezinski, A. </w:t>
            </w:r>
            <w:r>
              <w:rPr>
                <w:rFonts w:ascii="Aptos" w:hAnsi="Aptos"/>
                <w:i/>
                <w:iCs/>
                <w:sz w:val="20"/>
                <w:lang w:val="en-IE"/>
              </w:rPr>
              <w:t>et al.</w:t>
            </w:r>
            <w:r>
              <w:rPr>
                <w:rFonts w:ascii="Aptos" w:hAnsi="Aptos"/>
                <w:sz w:val="20"/>
                <w:lang w:val="en-IE"/>
              </w:rPr>
              <w:t xml:space="preserve"> Ultrafast and accurate sequence alignment and clustering of viral genomes. 2024.06.27.601020 Preprint at https://doi.org/10.1101/2024.06.27.601020 (2024).</w:t>
            </w:r>
          </w:p>
          <w:p w14:paraId="6171D295" w14:textId="77777777" w:rsidR="00EE11BD" w:rsidRDefault="00F70457">
            <w:pPr>
              <w:pStyle w:val="Bibliography"/>
              <w:widowControl w:val="0"/>
              <w:rPr>
                <w:rFonts w:ascii="Aptos" w:hAnsi="Aptos"/>
                <w:sz w:val="20"/>
                <w:lang w:val="en-IE"/>
              </w:rPr>
            </w:pPr>
            <w:r>
              <w:rPr>
                <w:rFonts w:ascii="Aptos" w:hAnsi="Aptos"/>
                <w:sz w:val="20"/>
                <w:lang w:val="en-IE"/>
              </w:rPr>
              <w:t>2.</w:t>
            </w:r>
            <w:r>
              <w:rPr>
                <w:rFonts w:ascii="Aptos" w:hAnsi="Aptos"/>
                <w:sz w:val="20"/>
                <w:lang w:val="en-IE"/>
              </w:rPr>
              <w:tab/>
              <w:t xml:space="preserve">Turner, D., Kropinski, A. M. &amp; Adriaenssens, E. M. A Roadmap for Genome-Based Phage Taxonomy. </w:t>
            </w:r>
            <w:r>
              <w:rPr>
                <w:rFonts w:ascii="Aptos" w:hAnsi="Aptos"/>
                <w:i/>
                <w:iCs/>
                <w:sz w:val="20"/>
                <w:lang w:val="en-IE"/>
              </w:rPr>
              <w:t>Viruses</w:t>
            </w:r>
            <w:r>
              <w:rPr>
                <w:rFonts w:ascii="Aptos" w:hAnsi="Aptos"/>
                <w:sz w:val="20"/>
                <w:lang w:val="en-IE"/>
              </w:rPr>
              <w:t xml:space="preserve"> </w:t>
            </w:r>
            <w:r>
              <w:rPr>
                <w:rFonts w:ascii="Aptos" w:hAnsi="Aptos"/>
                <w:b/>
                <w:bCs/>
                <w:sz w:val="20"/>
                <w:lang w:val="en-IE"/>
              </w:rPr>
              <w:t>13</w:t>
            </w:r>
            <w:r>
              <w:rPr>
                <w:rFonts w:ascii="Aptos" w:hAnsi="Aptos"/>
                <w:sz w:val="20"/>
                <w:lang w:val="en-IE"/>
              </w:rPr>
              <w:t>, 506 (2021).</w:t>
            </w:r>
          </w:p>
          <w:p w14:paraId="66A89B2F" w14:textId="77777777" w:rsidR="00EE11BD" w:rsidRDefault="00F70457">
            <w:pPr>
              <w:pStyle w:val="Bibliography"/>
              <w:widowControl w:val="0"/>
              <w:rPr>
                <w:rFonts w:ascii="Aptos" w:hAnsi="Aptos"/>
                <w:sz w:val="20"/>
                <w:lang w:val="en-IE"/>
              </w:rPr>
            </w:pPr>
            <w:r>
              <w:rPr>
                <w:rFonts w:ascii="Aptos" w:hAnsi="Aptos"/>
                <w:sz w:val="20"/>
                <w:lang w:val="en-IE"/>
              </w:rPr>
              <w:t>3.</w:t>
            </w:r>
            <w:r>
              <w:rPr>
                <w:rFonts w:ascii="Aptos" w:hAnsi="Aptos"/>
                <w:sz w:val="20"/>
                <w:lang w:val="en-IE"/>
              </w:rPr>
              <w:tab/>
              <w:t xml:space="preserve">Moi, D. </w:t>
            </w:r>
            <w:r>
              <w:rPr>
                <w:rFonts w:ascii="Aptos" w:hAnsi="Aptos"/>
                <w:i/>
                <w:iCs/>
                <w:sz w:val="20"/>
                <w:lang w:val="en-IE"/>
              </w:rPr>
              <w:t>et al.</w:t>
            </w:r>
            <w:r>
              <w:rPr>
                <w:rFonts w:ascii="Aptos" w:hAnsi="Aptos"/>
                <w:sz w:val="20"/>
                <w:lang w:val="en-IE"/>
              </w:rPr>
              <w:t xml:space="preserve"> Structural phylogenetics unravels the evolutionary diversification of communication systems in gram-positive bacteria and their viruses. 2023.09.19.558401 Preprint at https://doi.org/10.1101/2023.09.19.558401 (2023).</w:t>
            </w:r>
          </w:p>
          <w:p w14:paraId="6D5639FB" w14:textId="77777777" w:rsidR="00EE11BD" w:rsidRDefault="00F70457">
            <w:pPr>
              <w:pStyle w:val="Bibliography"/>
              <w:widowControl w:val="0"/>
              <w:rPr>
                <w:rFonts w:ascii="Aptos" w:hAnsi="Aptos"/>
                <w:sz w:val="20"/>
                <w:lang w:val="en-IE"/>
              </w:rPr>
            </w:pPr>
            <w:r>
              <w:rPr>
                <w:rFonts w:ascii="Aptos" w:hAnsi="Aptos"/>
                <w:sz w:val="20"/>
                <w:lang w:val="en-IE"/>
              </w:rPr>
              <w:t>4.</w:t>
            </w:r>
            <w:r>
              <w:rPr>
                <w:rFonts w:ascii="Aptos" w:hAnsi="Aptos"/>
                <w:sz w:val="20"/>
                <w:lang w:val="en-IE"/>
              </w:rPr>
              <w:tab/>
              <w:t xml:space="preserve">Gauthier, C. H., Cresawn, S. G. &amp; Hatfull, G. F. PhaMMseqs: a new pipeline for constructing phage gene phamilies using MMseqs2. </w:t>
            </w:r>
            <w:r>
              <w:rPr>
                <w:rFonts w:ascii="Aptos" w:hAnsi="Aptos"/>
                <w:i/>
                <w:iCs/>
                <w:sz w:val="20"/>
                <w:lang w:val="en-IE"/>
              </w:rPr>
              <w:t>G3 GenesGenomesGenetics</w:t>
            </w:r>
            <w:r>
              <w:rPr>
                <w:rFonts w:ascii="Aptos" w:hAnsi="Aptos"/>
                <w:sz w:val="20"/>
                <w:lang w:val="en-IE"/>
              </w:rPr>
              <w:t xml:space="preserve"> </w:t>
            </w:r>
            <w:r>
              <w:rPr>
                <w:rFonts w:ascii="Aptos" w:hAnsi="Aptos"/>
                <w:b/>
                <w:bCs/>
                <w:sz w:val="20"/>
                <w:lang w:val="en-IE"/>
              </w:rPr>
              <w:t>12</w:t>
            </w:r>
            <w:r>
              <w:rPr>
                <w:rFonts w:ascii="Aptos" w:hAnsi="Aptos"/>
                <w:sz w:val="20"/>
                <w:lang w:val="en-IE"/>
              </w:rPr>
              <w:t>, jkac233 (2022).</w:t>
            </w:r>
          </w:p>
          <w:p w14:paraId="1FFB3F35" w14:textId="77777777" w:rsidR="00EE11BD" w:rsidRDefault="00F70457">
            <w:pPr>
              <w:pStyle w:val="Bibliography"/>
              <w:widowControl w:val="0"/>
              <w:rPr>
                <w:rFonts w:ascii="Aptos" w:hAnsi="Aptos"/>
                <w:sz w:val="20"/>
                <w:lang w:val="en-IE"/>
              </w:rPr>
            </w:pPr>
            <w:r>
              <w:rPr>
                <w:rFonts w:ascii="Aptos" w:hAnsi="Aptos"/>
                <w:sz w:val="20"/>
                <w:lang w:val="en-IE"/>
              </w:rPr>
              <w:t>5.</w:t>
            </w:r>
            <w:r>
              <w:rPr>
                <w:rFonts w:ascii="Aptos" w:hAnsi="Aptos"/>
                <w:sz w:val="20"/>
                <w:lang w:val="en-IE"/>
              </w:rPr>
              <w:tab/>
              <w:t xml:space="preserve">Zhang, C. &amp; Mirarab, S. ASTRAL-Pro 2: ultrafast species tree reconstruction from multi-copy gene family trees. </w:t>
            </w:r>
            <w:r>
              <w:rPr>
                <w:rFonts w:ascii="Aptos" w:hAnsi="Aptos"/>
                <w:i/>
                <w:iCs/>
                <w:sz w:val="20"/>
                <w:lang w:val="en-IE"/>
              </w:rPr>
              <w:t>Bioinformatics</w:t>
            </w:r>
            <w:r>
              <w:rPr>
                <w:rFonts w:ascii="Aptos" w:hAnsi="Aptos"/>
                <w:sz w:val="20"/>
                <w:lang w:val="en-IE"/>
              </w:rPr>
              <w:t xml:space="preserve"> </w:t>
            </w:r>
            <w:r>
              <w:rPr>
                <w:rFonts w:ascii="Aptos" w:hAnsi="Aptos"/>
                <w:b/>
                <w:bCs/>
                <w:sz w:val="20"/>
                <w:lang w:val="en-IE"/>
              </w:rPr>
              <w:t>38</w:t>
            </w:r>
            <w:r>
              <w:rPr>
                <w:rFonts w:ascii="Aptos" w:hAnsi="Aptos"/>
                <w:sz w:val="20"/>
                <w:lang w:val="en-IE"/>
              </w:rPr>
              <w:t>, 4949–4950 (2022).</w:t>
            </w:r>
          </w:p>
          <w:p w14:paraId="04B492D3" w14:textId="77777777" w:rsidR="00EE11BD" w:rsidRDefault="00F70457">
            <w:pPr>
              <w:pStyle w:val="Bibliography"/>
              <w:widowControl w:val="0"/>
              <w:rPr>
                <w:rFonts w:ascii="Aptos" w:hAnsi="Aptos"/>
                <w:sz w:val="20"/>
                <w:lang w:val="en-IE"/>
              </w:rPr>
            </w:pPr>
            <w:r>
              <w:rPr>
                <w:rFonts w:ascii="Aptos" w:hAnsi="Aptos"/>
                <w:sz w:val="20"/>
                <w:lang w:val="en-IE"/>
              </w:rPr>
              <w:t>6.</w:t>
            </w:r>
            <w:r>
              <w:rPr>
                <w:rFonts w:ascii="Aptos" w:hAnsi="Aptos"/>
                <w:sz w:val="20"/>
                <w:lang w:val="en-IE"/>
              </w:rPr>
              <w:tab/>
              <w:t xml:space="preserve">Tabatabaee, Y., Zhang, C., Warnow, T. &amp; Mirarab, S. Phylogenomic branch length estimation using quartets. </w:t>
            </w:r>
            <w:r>
              <w:rPr>
                <w:rFonts w:ascii="Aptos" w:hAnsi="Aptos"/>
                <w:i/>
                <w:iCs/>
                <w:sz w:val="20"/>
                <w:lang w:val="en-IE"/>
              </w:rPr>
              <w:t>Bioinformatics</w:t>
            </w:r>
            <w:r>
              <w:rPr>
                <w:rFonts w:ascii="Aptos" w:hAnsi="Aptos"/>
                <w:sz w:val="20"/>
                <w:lang w:val="en-IE"/>
              </w:rPr>
              <w:t xml:space="preserve"> </w:t>
            </w:r>
            <w:r>
              <w:rPr>
                <w:rFonts w:ascii="Aptos" w:hAnsi="Aptos"/>
                <w:b/>
                <w:bCs/>
                <w:sz w:val="20"/>
                <w:lang w:val="en-IE"/>
              </w:rPr>
              <w:t>39</w:t>
            </w:r>
            <w:r>
              <w:rPr>
                <w:rFonts w:ascii="Aptos" w:hAnsi="Aptos"/>
                <w:sz w:val="20"/>
                <w:lang w:val="en-IE"/>
              </w:rPr>
              <w:t>, i185–i193 (2023).</w:t>
            </w:r>
          </w:p>
          <w:p w14:paraId="1E714F78" w14:textId="77777777" w:rsidR="00EE11BD" w:rsidRDefault="00F70457">
            <w:pPr>
              <w:pStyle w:val="Bibliography"/>
              <w:widowControl w:val="0"/>
              <w:rPr>
                <w:rFonts w:ascii="Aptos" w:hAnsi="Aptos"/>
                <w:sz w:val="20"/>
                <w:lang w:val="en-IE"/>
              </w:rPr>
            </w:pPr>
            <w:r>
              <w:rPr>
                <w:rFonts w:ascii="Aptos" w:hAnsi="Aptos"/>
                <w:sz w:val="20"/>
                <w:lang w:val="en-IE"/>
              </w:rPr>
              <w:t>7.</w:t>
            </w:r>
            <w:r>
              <w:rPr>
                <w:rFonts w:ascii="Aptos" w:hAnsi="Aptos"/>
                <w:sz w:val="20"/>
                <w:lang w:val="en-IE"/>
              </w:rPr>
              <w:tab/>
              <w:t>Bryant, D. &amp; Charleston, M. MAD roots for large trees. Preprint at https://doi.org/10.48550/arXiv.1811.03174 (2018).</w:t>
            </w:r>
          </w:p>
          <w:p w14:paraId="7C026583" w14:textId="77777777" w:rsidR="00EE11BD" w:rsidRDefault="00F70457">
            <w:pPr>
              <w:pStyle w:val="Bibliography"/>
              <w:widowControl w:val="0"/>
              <w:rPr>
                <w:rFonts w:ascii="Aptos" w:hAnsi="Aptos"/>
                <w:sz w:val="20"/>
                <w:lang w:val="en-IE"/>
              </w:rPr>
            </w:pPr>
            <w:r>
              <w:rPr>
                <w:rFonts w:ascii="Aptos" w:hAnsi="Aptos"/>
                <w:sz w:val="20"/>
                <w:lang w:val="en-IE"/>
              </w:rPr>
              <w:t>8.</w:t>
            </w:r>
            <w:r>
              <w:rPr>
                <w:rFonts w:ascii="Aptos" w:hAnsi="Aptos"/>
                <w:sz w:val="20"/>
                <w:lang w:val="en-IE"/>
              </w:rPr>
              <w:tab/>
              <w:t xml:space="preserve">Katoh, K. &amp; Standley, D. M. MAFFT Multiple Sequence Alignment Software Version 7: </w:t>
            </w:r>
            <w:r>
              <w:rPr>
                <w:rFonts w:ascii="Aptos" w:hAnsi="Aptos"/>
                <w:sz w:val="20"/>
                <w:lang w:val="en-IE"/>
              </w:rPr>
              <w:lastRenderedPageBreak/>
              <w:t xml:space="preserve">Improvements in Performance and Usability. </w:t>
            </w:r>
            <w:r>
              <w:rPr>
                <w:rFonts w:ascii="Aptos" w:hAnsi="Aptos"/>
                <w:i/>
                <w:iCs/>
                <w:sz w:val="20"/>
                <w:lang w:val="en-IE"/>
              </w:rPr>
              <w:t>Mol. Biol. Evol.</w:t>
            </w:r>
            <w:r>
              <w:rPr>
                <w:rFonts w:ascii="Aptos" w:hAnsi="Aptos"/>
                <w:sz w:val="20"/>
                <w:lang w:val="en-IE"/>
              </w:rPr>
              <w:t xml:space="preserve"> </w:t>
            </w:r>
            <w:r>
              <w:rPr>
                <w:rFonts w:ascii="Aptos" w:hAnsi="Aptos"/>
                <w:b/>
                <w:bCs/>
                <w:sz w:val="20"/>
                <w:lang w:val="en-IE"/>
              </w:rPr>
              <w:t>30</w:t>
            </w:r>
            <w:r>
              <w:rPr>
                <w:rFonts w:ascii="Aptos" w:hAnsi="Aptos"/>
                <w:sz w:val="20"/>
                <w:lang w:val="en-IE"/>
              </w:rPr>
              <w:t>, 772–780 (2013).</w:t>
            </w:r>
          </w:p>
          <w:p w14:paraId="02FD5844" w14:textId="77777777" w:rsidR="00EE11BD" w:rsidRDefault="00F70457">
            <w:pPr>
              <w:pStyle w:val="Bibliography"/>
              <w:widowControl w:val="0"/>
              <w:rPr>
                <w:rFonts w:ascii="Aptos" w:hAnsi="Aptos"/>
                <w:sz w:val="20"/>
                <w:lang w:val="en-IE"/>
              </w:rPr>
            </w:pPr>
            <w:r>
              <w:rPr>
                <w:rFonts w:ascii="Aptos" w:hAnsi="Aptos"/>
                <w:sz w:val="20"/>
                <w:lang w:val="en-IE"/>
              </w:rPr>
              <w:t>9.</w:t>
            </w:r>
            <w:r>
              <w:rPr>
                <w:rFonts w:ascii="Aptos" w:hAnsi="Aptos"/>
                <w:sz w:val="20"/>
                <w:lang w:val="en-IE"/>
              </w:rPr>
              <w:tab/>
              <w:t xml:space="preserve">Steenwyk, J. L., Buida, T. J., Li, Y., Shen, X.-X. &amp; Rokas, A. ClipKIT: A multiple sequence alignment trimming software for accurate phylogenomic inference. </w:t>
            </w:r>
            <w:r>
              <w:rPr>
                <w:rFonts w:ascii="Aptos" w:hAnsi="Aptos"/>
                <w:i/>
                <w:iCs/>
                <w:sz w:val="20"/>
                <w:lang w:val="en-IE"/>
              </w:rPr>
              <w:t>PLOS Biol.</w:t>
            </w:r>
            <w:r>
              <w:rPr>
                <w:rFonts w:ascii="Aptos" w:hAnsi="Aptos"/>
                <w:sz w:val="20"/>
                <w:lang w:val="en-IE"/>
              </w:rPr>
              <w:t xml:space="preserve"> </w:t>
            </w:r>
            <w:r>
              <w:rPr>
                <w:rFonts w:ascii="Aptos" w:hAnsi="Aptos"/>
                <w:b/>
                <w:bCs/>
                <w:sz w:val="20"/>
                <w:lang w:val="en-IE"/>
              </w:rPr>
              <w:t>18</w:t>
            </w:r>
            <w:r>
              <w:rPr>
                <w:rFonts w:ascii="Aptos" w:hAnsi="Aptos"/>
                <w:sz w:val="20"/>
                <w:lang w:val="en-IE"/>
              </w:rPr>
              <w:t>, e3001007 (2020).</w:t>
            </w:r>
          </w:p>
          <w:p w14:paraId="4C2FDDFA" w14:textId="77777777" w:rsidR="00EE11BD" w:rsidRDefault="00F70457">
            <w:pPr>
              <w:pStyle w:val="Bibliography"/>
              <w:widowControl w:val="0"/>
              <w:rPr>
                <w:rFonts w:ascii="Aptos" w:hAnsi="Aptos"/>
                <w:sz w:val="20"/>
                <w:lang w:val="en-IE"/>
              </w:rPr>
            </w:pPr>
            <w:r>
              <w:rPr>
                <w:rFonts w:ascii="Aptos" w:hAnsi="Aptos"/>
                <w:sz w:val="20"/>
                <w:lang w:val="en-IE"/>
              </w:rPr>
              <w:t>10.</w:t>
            </w:r>
            <w:r>
              <w:rPr>
                <w:rFonts w:ascii="Aptos" w:hAnsi="Aptos"/>
                <w:sz w:val="20"/>
                <w:lang w:val="en-IE"/>
              </w:rPr>
              <w:tab/>
              <w:t xml:space="preserve">Minh, B. Q. </w:t>
            </w:r>
            <w:r>
              <w:rPr>
                <w:rFonts w:ascii="Aptos" w:hAnsi="Aptos"/>
                <w:i/>
                <w:iCs/>
                <w:sz w:val="20"/>
                <w:lang w:val="en-IE"/>
              </w:rPr>
              <w:t>et al.</w:t>
            </w:r>
            <w:r>
              <w:rPr>
                <w:rFonts w:ascii="Aptos" w:hAnsi="Aptos"/>
                <w:sz w:val="20"/>
                <w:lang w:val="en-IE"/>
              </w:rPr>
              <w:t xml:space="preserve"> IQ-TREE 2: New Models and Efficient Methods for Phylogenetic Inference in the Genomic Era. </w:t>
            </w:r>
            <w:r>
              <w:rPr>
                <w:rFonts w:ascii="Aptos" w:hAnsi="Aptos"/>
                <w:i/>
                <w:iCs/>
                <w:sz w:val="20"/>
                <w:lang w:val="en-IE"/>
              </w:rPr>
              <w:t>Mol. Biol. Evol.</w:t>
            </w:r>
            <w:r>
              <w:rPr>
                <w:rFonts w:ascii="Aptos" w:hAnsi="Aptos"/>
                <w:sz w:val="20"/>
                <w:lang w:val="en-IE"/>
              </w:rPr>
              <w:t xml:space="preserve"> </w:t>
            </w:r>
            <w:r>
              <w:rPr>
                <w:rFonts w:ascii="Aptos" w:hAnsi="Aptos"/>
                <w:b/>
                <w:bCs/>
                <w:sz w:val="20"/>
                <w:lang w:val="en-IE"/>
              </w:rPr>
              <w:t>37</w:t>
            </w:r>
            <w:r>
              <w:rPr>
                <w:rFonts w:ascii="Aptos" w:hAnsi="Aptos"/>
                <w:sz w:val="20"/>
                <w:lang w:val="en-IE"/>
              </w:rPr>
              <w:t>, 1530–1534 (2020).</w:t>
            </w:r>
          </w:p>
          <w:p w14:paraId="63639F48" w14:textId="77777777" w:rsidR="00EE11BD" w:rsidRDefault="00F70457">
            <w:pPr>
              <w:pStyle w:val="Bibliography"/>
              <w:widowControl w:val="0"/>
              <w:rPr>
                <w:rFonts w:ascii="Aptos" w:hAnsi="Aptos"/>
                <w:sz w:val="20"/>
                <w:lang w:val="en-IE"/>
              </w:rPr>
            </w:pPr>
            <w:r>
              <w:rPr>
                <w:rFonts w:ascii="Aptos" w:hAnsi="Aptos"/>
                <w:sz w:val="20"/>
                <w:lang w:val="en-IE"/>
              </w:rPr>
              <w:t>11.</w:t>
            </w:r>
            <w:r>
              <w:rPr>
                <w:rFonts w:ascii="Aptos" w:hAnsi="Aptos"/>
                <w:sz w:val="20"/>
                <w:lang w:val="en-IE"/>
              </w:rPr>
              <w:tab/>
              <w:t xml:space="preserve">Hoang, D. T., Chernomor, O., von Haeseler, A., Minh, B. Q. &amp; Vinh, L. S. UFBoot2: Improving the Ultrafast Bootstrap Approximation. </w:t>
            </w:r>
            <w:r>
              <w:rPr>
                <w:rFonts w:ascii="Aptos" w:hAnsi="Aptos"/>
                <w:i/>
                <w:iCs/>
                <w:sz w:val="20"/>
                <w:lang w:val="en-IE"/>
              </w:rPr>
              <w:t>Mol. Biol. Evol.</w:t>
            </w:r>
            <w:r>
              <w:rPr>
                <w:rFonts w:ascii="Aptos" w:hAnsi="Aptos"/>
                <w:sz w:val="20"/>
                <w:lang w:val="en-IE"/>
              </w:rPr>
              <w:t xml:space="preserve"> </w:t>
            </w:r>
            <w:r>
              <w:rPr>
                <w:rFonts w:ascii="Aptos" w:hAnsi="Aptos"/>
                <w:b/>
                <w:bCs/>
                <w:sz w:val="20"/>
                <w:lang w:val="en-IE"/>
              </w:rPr>
              <w:t>35</w:t>
            </w:r>
            <w:r>
              <w:rPr>
                <w:rFonts w:ascii="Aptos" w:hAnsi="Aptos"/>
                <w:sz w:val="20"/>
                <w:lang w:val="en-IE"/>
              </w:rPr>
              <w:t>, 518–522 (2018).</w:t>
            </w:r>
          </w:p>
          <w:p w14:paraId="7FE2675E" w14:textId="77777777" w:rsidR="00EE11BD" w:rsidRDefault="00F70457">
            <w:pPr>
              <w:pStyle w:val="Bibliography"/>
              <w:widowControl w:val="0"/>
              <w:rPr>
                <w:rFonts w:ascii="Aptos" w:hAnsi="Aptos"/>
                <w:sz w:val="20"/>
                <w:lang w:val="en-IE"/>
              </w:rPr>
            </w:pPr>
            <w:r>
              <w:rPr>
                <w:rFonts w:ascii="Aptos" w:hAnsi="Aptos"/>
                <w:sz w:val="20"/>
                <w:lang w:val="en-IE"/>
              </w:rPr>
              <w:t>12.</w:t>
            </w:r>
            <w:r>
              <w:rPr>
                <w:rFonts w:ascii="Aptos" w:hAnsi="Aptos"/>
                <w:sz w:val="20"/>
                <w:lang w:val="en-IE"/>
              </w:rPr>
              <w:tab/>
              <w:t xml:space="preserve">Anisimova, M., Gil, M., Dufayard, J.-F., Dessimoz, C. &amp; Gascuel, O. Survey of Branch Support Methods Demonstrates Accuracy, Power, and Robustness of Fast Likelihood-based Approximation Schemes. </w:t>
            </w:r>
            <w:r>
              <w:rPr>
                <w:rFonts w:ascii="Aptos" w:hAnsi="Aptos"/>
                <w:i/>
                <w:iCs/>
                <w:sz w:val="20"/>
                <w:lang w:val="en-IE"/>
              </w:rPr>
              <w:t>Syst. Biol.</w:t>
            </w:r>
            <w:r>
              <w:rPr>
                <w:rFonts w:ascii="Aptos" w:hAnsi="Aptos"/>
                <w:sz w:val="20"/>
                <w:lang w:val="en-IE"/>
              </w:rPr>
              <w:t xml:space="preserve"> </w:t>
            </w:r>
            <w:r>
              <w:rPr>
                <w:rFonts w:ascii="Aptos" w:hAnsi="Aptos"/>
                <w:b/>
                <w:bCs/>
                <w:sz w:val="20"/>
                <w:lang w:val="en-IE"/>
              </w:rPr>
              <w:t>60</w:t>
            </w:r>
            <w:r>
              <w:rPr>
                <w:rFonts w:ascii="Aptos" w:hAnsi="Aptos"/>
                <w:sz w:val="20"/>
                <w:lang w:val="en-IE"/>
              </w:rPr>
              <w:t>, 685–699 (2011).</w:t>
            </w:r>
          </w:p>
          <w:p w14:paraId="2BA475AA" w14:textId="77777777" w:rsidR="00EE11BD" w:rsidRDefault="00F70457">
            <w:pPr>
              <w:pStyle w:val="Bibliography"/>
              <w:widowControl w:val="0"/>
              <w:rPr>
                <w:rFonts w:ascii="Aptos" w:hAnsi="Aptos"/>
                <w:sz w:val="20"/>
                <w:lang w:val="en-IE"/>
              </w:rPr>
            </w:pPr>
            <w:r>
              <w:rPr>
                <w:rFonts w:ascii="Aptos" w:hAnsi="Aptos"/>
                <w:sz w:val="20"/>
                <w:lang w:val="en-IE"/>
              </w:rPr>
              <w:t>13.</w:t>
            </w:r>
            <w:r>
              <w:rPr>
                <w:rFonts w:ascii="Aptos" w:hAnsi="Aptos"/>
                <w:sz w:val="20"/>
                <w:lang w:val="en-IE"/>
              </w:rPr>
              <w:tab/>
              <w:t xml:space="preserve">Kalyaanamoorthy, S., Minh, B. Q., Wong, T. K. F., von Haeseler, A. &amp; Jermiin, L. S. ModelFinder: fast model selection for accurate phylogenetic estimates. </w:t>
            </w:r>
            <w:r>
              <w:rPr>
                <w:rFonts w:ascii="Aptos" w:hAnsi="Aptos"/>
                <w:i/>
                <w:iCs/>
                <w:sz w:val="20"/>
                <w:lang w:val="en-IE"/>
              </w:rPr>
              <w:t>Nat. Methods</w:t>
            </w:r>
            <w:r>
              <w:rPr>
                <w:rFonts w:ascii="Aptos" w:hAnsi="Aptos"/>
                <w:sz w:val="20"/>
                <w:lang w:val="en-IE"/>
              </w:rPr>
              <w:t xml:space="preserve"> </w:t>
            </w:r>
            <w:r>
              <w:rPr>
                <w:rFonts w:ascii="Aptos" w:hAnsi="Aptos"/>
                <w:b/>
                <w:bCs/>
                <w:sz w:val="20"/>
                <w:lang w:val="en-IE"/>
              </w:rPr>
              <w:t>14</w:t>
            </w:r>
            <w:r>
              <w:rPr>
                <w:rFonts w:ascii="Aptos" w:hAnsi="Aptos"/>
                <w:sz w:val="20"/>
                <w:lang w:val="en-IE"/>
              </w:rPr>
              <w:t>, 587–589 (2017).</w:t>
            </w:r>
          </w:p>
          <w:p w14:paraId="5F42BF9E" w14:textId="77777777" w:rsidR="00EE11BD" w:rsidRDefault="00F70457">
            <w:pPr>
              <w:widowControl w:val="0"/>
              <w:rPr>
                <w:rFonts w:ascii="Aptos" w:hAnsi="Aptos" w:cs="Arial"/>
                <w:sz w:val="20"/>
                <w:szCs w:val="20"/>
                <w:lang w:val="en-IE"/>
              </w:rPr>
            </w:pPr>
            <w:r>
              <w:rPr>
                <w:rFonts w:ascii="Aptos" w:hAnsi="Aptos"/>
                <w:sz w:val="20"/>
                <w:szCs w:val="20"/>
              </w:rPr>
              <w:fldChar w:fldCharType="end"/>
            </w:r>
          </w:p>
          <w:p w14:paraId="1EBDE778" w14:textId="77777777" w:rsidR="00EE11BD" w:rsidRDefault="00F70457">
            <w:pPr>
              <w:widowControl w:val="0"/>
              <w:rPr>
                <w:rFonts w:ascii="Aptos" w:hAnsi="Aptos"/>
                <w:sz w:val="20"/>
                <w:szCs w:val="20"/>
                <w:lang w:val="en-IE"/>
              </w:rPr>
            </w:pPr>
            <w:r>
              <w:rPr>
                <w:rFonts w:ascii="Aptos" w:hAnsi="Aptos" w:cs="Arial"/>
                <w:sz w:val="20"/>
                <w:szCs w:val="20"/>
                <w:lang w:val="en-IE"/>
              </w:rPr>
              <w:t xml:space="preserve">  </w:t>
            </w:r>
            <w:r>
              <w:rPr>
                <w:rFonts w:ascii="Aptos" w:hAnsi="Aptos"/>
                <w:sz w:val="20"/>
                <w:szCs w:val="20"/>
                <w:lang w:val="en-IE"/>
              </w:rPr>
              <w:t xml:space="preserve">  </w:t>
            </w:r>
          </w:p>
        </w:tc>
      </w:tr>
    </w:tbl>
    <w:p w14:paraId="333631D1" w14:textId="77777777" w:rsidR="00EE11BD" w:rsidRDefault="00EE11BD">
      <w:pPr>
        <w:rPr>
          <w:rFonts w:ascii="Aptos" w:hAnsi="Aptos" w:cs="Arial"/>
          <w:color w:val="808080" w:themeColor="background1" w:themeShade="80"/>
          <w:sz w:val="20"/>
          <w:lang w:val="en-IE"/>
        </w:rPr>
      </w:pPr>
    </w:p>
    <w:tbl>
      <w:tblPr>
        <w:tblStyle w:val="TableGrid"/>
        <w:tblW w:w="8926" w:type="dxa"/>
        <w:tblLayout w:type="fixed"/>
        <w:tblLook w:val="04A0" w:firstRow="1" w:lastRow="0" w:firstColumn="1" w:lastColumn="0" w:noHBand="0" w:noVBand="1"/>
      </w:tblPr>
      <w:tblGrid>
        <w:gridCol w:w="2262"/>
        <w:gridCol w:w="6664"/>
      </w:tblGrid>
      <w:tr w:rsidR="00EE11BD" w14:paraId="4B7FF4D8" w14:textId="77777777">
        <w:trPr>
          <w:trHeight w:val="297"/>
        </w:trPr>
        <w:tc>
          <w:tcPr>
            <w:tcW w:w="8925" w:type="dxa"/>
            <w:gridSpan w:val="2"/>
            <w:shd w:val="clear" w:color="auto" w:fill="F2F2F2" w:themeFill="background1" w:themeFillShade="F2"/>
          </w:tcPr>
          <w:p w14:paraId="4121DF4A" w14:textId="77777777" w:rsidR="00EE11BD" w:rsidRDefault="00F70457">
            <w:pPr>
              <w:rPr>
                <w:rFonts w:ascii="Aptos" w:hAnsi="Aptos" w:cs="Arial"/>
                <w:b/>
                <w:color w:val="0000FF"/>
                <w:sz w:val="20"/>
                <w:lang w:val="en-IE"/>
              </w:rPr>
            </w:pPr>
            <w:r>
              <w:rPr>
                <w:rFonts w:ascii="Aptos" w:hAnsi="Aptos" w:cs="Arial"/>
                <w:b/>
                <w:sz w:val="20"/>
                <w:szCs w:val="20"/>
                <w:lang w:val="en-IE"/>
              </w:rPr>
              <w:t xml:space="preserve">Accompanying files: </w:t>
            </w:r>
          </w:p>
        </w:tc>
      </w:tr>
      <w:tr w:rsidR="00EE11BD" w14:paraId="05093942" w14:textId="77777777">
        <w:trPr>
          <w:trHeight w:val="73"/>
        </w:trPr>
        <w:tc>
          <w:tcPr>
            <w:tcW w:w="2262" w:type="dxa"/>
          </w:tcPr>
          <w:p w14:paraId="06E0EFF1" w14:textId="77777777" w:rsidR="00EE11BD" w:rsidRDefault="00F70457">
            <w:pPr>
              <w:rPr>
                <w:rFonts w:ascii="Aptos" w:hAnsi="Aptos" w:cs="Arial"/>
                <w:b/>
                <w:sz w:val="20"/>
                <w:szCs w:val="20"/>
                <w:lang w:val="en-IE"/>
              </w:rPr>
            </w:pPr>
            <w:r>
              <w:rPr>
                <w:rFonts w:ascii="Aptos" w:hAnsi="Aptos" w:cs="Arial"/>
                <w:b/>
                <w:sz w:val="20"/>
                <w:szCs w:val="20"/>
                <w:lang w:val="en-IE"/>
              </w:rPr>
              <w:t>Filename</w:t>
            </w:r>
          </w:p>
        </w:tc>
        <w:tc>
          <w:tcPr>
            <w:tcW w:w="6663" w:type="dxa"/>
          </w:tcPr>
          <w:p w14:paraId="7E61B27C" w14:textId="77777777" w:rsidR="00EE11BD" w:rsidRDefault="00F70457">
            <w:pPr>
              <w:rPr>
                <w:rFonts w:ascii="Aptos" w:hAnsi="Aptos" w:cs="Arial"/>
                <w:b/>
                <w:sz w:val="20"/>
                <w:szCs w:val="20"/>
                <w:lang w:val="en-IE"/>
              </w:rPr>
            </w:pPr>
            <w:r>
              <w:rPr>
                <w:rFonts w:ascii="Aptos" w:hAnsi="Aptos" w:cs="Arial"/>
                <w:b/>
                <w:sz w:val="20"/>
                <w:szCs w:val="20"/>
                <w:lang w:val="en-IE"/>
              </w:rPr>
              <w:t>Description of contents</w:t>
            </w:r>
          </w:p>
        </w:tc>
      </w:tr>
      <w:tr w:rsidR="00EE11BD" w14:paraId="30F2D185" w14:textId="77777777">
        <w:trPr>
          <w:trHeight w:val="71"/>
        </w:trPr>
        <w:tc>
          <w:tcPr>
            <w:tcW w:w="2262" w:type="dxa"/>
          </w:tcPr>
          <w:p w14:paraId="4DE65658" w14:textId="77777777" w:rsidR="00EE11BD" w:rsidRDefault="00F70457">
            <w:pPr>
              <w:rPr>
                <w:rFonts w:ascii="Aptos" w:hAnsi="Aptos" w:cs="Arial"/>
                <w:b/>
                <w:sz w:val="20"/>
                <w:szCs w:val="20"/>
                <w:lang w:val="en-IE"/>
              </w:rPr>
            </w:pPr>
            <w:r>
              <w:rPr>
                <w:rFonts w:ascii="Aptos" w:hAnsi="Aptos" w:cs="Arial"/>
                <w:b/>
                <w:sz w:val="20"/>
                <w:szCs w:val="20"/>
                <w:lang w:val="en-IE"/>
              </w:rPr>
              <w:t>Taxa_names.xlsx</w:t>
            </w:r>
          </w:p>
        </w:tc>
        <w:tc>
          <w:tcPr>
            <w:tcW w:w="6663" w:type="dxa"/>
          </w:tcPr>
          <w:p w14:paraId="188B3EBF" w14:textId="77777777" w:rsidR="00EE11BD" w:rsidRDefault="00F70457">
            <w:pPr>
              <w:rPr>
                <w:rFonts w:ascii="Aptos" w:hAnsi="Aptos" w:cs="Arial"/>
                <w:b/>
                <w:sz w:val="20"/>
                <w:szCs w:val="20"/>
                <w:lang w:val="en-IE"/>
              </w:rPr>
            </w:pPr>
            <w:r>
              <w:rPr>
                <w:rFonts w:ascii="Aptos" w:hAnsi="Aptos" w:cs="Arial"/>
                <w:b/>
                <w:sz w:val="20"/>
                <w:szCs w:val="20"/>
                <w:lang w:val="en-IE"/>
              </w:rPr>
              <w:t>Contains all genomes, their accession and their taxonomic rank</w:t>
            </w:r>
          </w:p>
        </w:tc>
      </w:tr>
      <w:tr w:rsidR="00EE11BD" w14:paraId="5B486C1E" w14:textId="77777777">
        <w:trPr>
          <w:trHeight w:val="71"/>
        </w:trPr>
        <w:tc>
          <w:tcPr>
            <w:tcW w:w="2262" w:type="dxa"/>
          </w:tcPr>
          <w:p w14:paraId="6E5CB4A1" w14:textId="77777777" w:rsidR="00EE11BD" w:rsidRDefault="00F70457">
            <w:pPr>
              <w:rPr>
                <w:rFonts w:ascii="Aptos" w:hAnsi="Aptos" w:cs="Arial"/>
                <w:b/>
                <w:sz w:val="20"/>
                <w:szCs w:val="20"/>
                <w:lang w:val="en-IE"/>
              </w:rPr>
            </w:pPr>
            <w:proofErr w:type="spellStart"/>
            <w:r>
              <w:rPr>
                <w:rFonts w:ascii="Aptos" w:hAnsi="Aptos" w:cs="Arial"/>
                <w:b/>
                <w:sz w:val="20"/>
                <w:szCs w:val="20"/>
                <w:lang w:val="en-IE"/>
              </w:rPr>
              <w:t>Distances.tsv</w:t>
            </w:r>
            <w:proofErr w:type="spellEnd"/>
          </w:p>
        </w:tc>
        <w:tc>
          <w:tcPr>
            <w:tcW w:w="6663" w:type="dxa"/>
          </w:tcPr>
          <w:p w14:paraId="758A721B" w14:textId="77777777" w:rsidR="00EE11BD" w:rsidRDefault="00F70457">
            <w:pPr>
              <w:rPr>
                <w:rFonts w:ascii="Aptos" w:hAnsi="Aptos" w:cs="Arial"/>
                <w:b/>
                <w:sz w:val="20"/>
                <w:szCs w:val="20"/>
                <w:lang w:val="en-IE"/>
              </w:rPr>
            </w:pPr>
            <w:r>
              <w:rPr>
                <w:rFonts w:ascii="Aptos" w:hAnsi="Aptos" w:cs="Arial"/>
                <w:b/>
                <w:sz w:val="20"/>
                <w:szCs w:val="20"/>
                <w:lang w:val="en-IE"/>
              </w:rPr>
              <w:t xml:space="preserve">Contains all genomes and their distances to each other genome, using </w:t>
            </w:r>
            <w:proofErr w:type="spellStart"/>
            <w:r>
              <w:rPr>
                <w:rFonts w:ascii="Aptos" w:hAnsi="Aptos" w:cs="Arial"/>
                <w:b/>
                <w:sz w:val="20"/>
                <w:szCs w:val="20"/>
                <w:lang w:val="en-IE"/>
              </w:rPr>
              <w:t>tANI</w:t>
            </w:r>
            <w:proofErr w:type="spellEnd"/>
            <w:r>
              <w:rPr>
                <w:rFonts w:ascii="Aptos" w:hAnsi="Aptos" w:cs="Arial"/>
                <w:b/>
                <w:sz w:val="20"/>
                <w:szCs w:val="20"/>
                <w:lang w:val="en-IE"/>
              </w:rPr>
              <w:t xml:space="preserve">, </w:t>
            </w:r>
            <w:proofErr w:type="spellStart"/>
            <w:r>
              <w:rPr>
                <w:rFonts w:ascii="Aptos" w:hAnsi="Aptos" w:cs="Arial"/>
                <w:b/>
                <w:sz w:val="20"/>
                <w:szCs w:val="20"/>
                <w:lang w:val="en-IE"/>
              </w:rPr>
              <w:t>gANI</w:t>
            </w:r>
            <w:proofErr w:type="spellEnd"/>
            <w:r>
              <w:rPr>
                <w:rFonts w:ascii="Aptos" w:hAnsi="Aptos" w:cs="Arial"/>
                <w:b/>
                <w:sz w:val="20"/>
                <w:szCs w:val="20"/>
                <w:lang w:val="en-IE"/>
              </w:rPr>
              <w:t>, ANI and metadata.</w:t>
            </w:r>
          </w:p>
        </w:tc>
      </w:tr>
      <w:tr w:rsidR="00EE11BD" w14:paraId="5E2FF0C8" w14:textId="77777777">
        <w:trPr>
          <w:trHeight w:val="71"/>
        </w:trPr>
        <w:tc>
          <w:tcPr>
            <w:tcW w:w="2262" w:type="dxa"/>
          </w:tcPr>
          <w:p w14:paraId="0468B3E9" w14:textId="77777777" w:rsidR="00EE11BD" w:rsidRDefault="00F70457">
            <w:pPr>
              <w:rPr>
                <w:rFonts w:ascii="Aptos" w:hAnsi="Aptos" w:cs="Arial"/>
                <w:b/>
                <w:sz w:val="20"/>
                <w:szCs w:val="20"/>
                <w:lang w:val="en-IE"/>
              </w:rPr>
            </w:pPr>
            <w:proofErr w:type="spellStart"/>
            <w:r>
              <w:rPr>
                <w:rFonts w:ascii="Aptos" w:hAnsi="Aptos" w:cs="Arial"/>
                <w:b/>
                <w:sz w:val="20"/>
                <w:szCs w:val="20"/>
                <w:lang w:val="en-IE"/>
              </w:rPr>
              <w:t>Sequences.gzip</w:t>
            </w:r>
            <w:proofErr w:type="spellEnd"/>
          </w:p>
        </w:tc>
        <w:tc>
          <w:tcPr>
            <w:tcW w:w="6663" w:type="dxa"/>
          </w:tcPr>
          <w:p w14:paraId="3FCAB288" w14:textId="77777777" w:rsidR="00EE11BD" w:rsidRDefault="00F70457">
            <w:pPr>
              <w:rPr>
                <w:rFonts w:ascii="Aptos" w:hAnsi="Aptos" w:cs="Arial"/>
                <w:b/>
                <w:sz w:val="20"/>
                <w:szCs w:val="20"/>
                <w:lang w:val="en-IE"/>
              </w:rPr>
            </w:pPr>
            <w:r>
              <w:rPr>
                <w:rFonts w:ascii="Aptos" w:hAnsi="Aptos" w:cs="Arial"/>
                <w:b/>
                <w:sz w:val="20"/>
                <w:szCs w:val="20"/>
                <w:lang w:val="en-IE"/>
              </w:rPr>
              <w:t xml:space="preserve">Contains all genomes, available on </w:t>
            </w:r>
            <w:proofErr w:type="spellStart"/>
            <w:r>
              <w:rPr>
                <w:rFonts w:ascii="Aptos" w:hAnsi="Aptos" w:cs="Arial"/>
                <w:b/>
                <w:sz w:val="20"/>
                <w:szCs w:val="20"/>
                <w:lang w:val="en-IE"/>
              </w:rPr>
              <w:t>ncbi</w:t>
            </w:r>
            <w:proofErr w:type="spellEnd"/>
            <w:r>
              <w:rPr>
                <w:rFonts w:ascii="Aptos" w:hAnsi="Aptos" w:cs="Arial"/>
                <w:b/>
                <w:sz w:val="20"/>
                <w:szCs w:val="20"/>
                <w:lang w:val="en-IE"/>
              </w:rPr>
              <w:t xml:space="preserve"> or not in a </w:t>
            </w:r>
            <w:proofErr w:type="spellStart"/>
            <w:r>
              <w:rPr>
                <w:rFonts w:ascii="Aptos" w:hAnsi="Aptos" w:cs="Arial"/>
                <w:b/>
                <w:sz w:val="20"/>
                <w:szCs w:val="20"/>
                <w:lang w:val="en-IE"/>
              </w:rPr>
              <w:t>gzipped</w:t>
            </w:r>
            <w:proofErr w:type="spellEnd"/>
            <w:r>
              <w:rPr>
                <w:rFonts w:ascii="Aptos" w:hAnsi="Aptos" w:cs="Arial"/>
                <w:b/>
                <w:sz w:val="20"/>
                <w:szCs w:val="20"/>
                <w:lang w:val="en-IE"/>
              </w:rPr>
              <w:t xml:space="preserve"> format</w:t>
            </w:r>
          </w:p>
        </w:tc>
      </w:tr>
      <w:tr w:rsidR="00EE11BD" w14:paraId="7B0B2D21" w14:textId="77777777">
        <w:trPr>
          <w:trHeight w:val="71"/>
        </w:trPr>
        <w:tc>
          <w:tcPr>
            <w:tcW w:w="2262" w:type="dxa"/>
          </w:tcPr>
          <w:p w14:paraId="70351FA4" w14:textId="77777777" w:rsidR="00EE11BD" w:rsidRDefault="00F70457">
            <w:pPr>
              <w:rPr>
                <w:rFonts w:ascii="Aptos" w:hAnsi="Aptos" w:cs="Arial"/>
                <w:b/>
                <w:sz w:val="20"/>
                <w:szCs w:val="20"/>
                <w:lang w:val="en-IE"/>
              </w:rPr>
            </w:pPr>
            <w:r>
              <w:rPr>
                <w:rFonts w:ascii="Aptos" w:hAnsi="Aptos" w:cs="Arial"/>
                <w:b/>
                <w:sz w:val="20"/>
                <w:szCs w:val="20"/>
                <w:lang w:val="en-IE"/>
              </w:rPr>
              <w:t>All_gbk.gz</w:t>
            </w:r>
          </w:p>
        </w:tc>
        <w:tc>
          <w:tcPr>
            <w:tcW w:w="6663" w:type="dxa"/>
          </w:tcPr>
          <w:p w14:paraId="410BC180" w14:textId="77777777" w:rsidR="00EE11BD" w:rsidRDefault="00F70457">
            <w:pPr>
              <w:rPr>
                <w:rFonts w:ascii="Aptos" w:hAnsi="Aptos" w:cs="Arial"/>
                <w:b/>
                <w:sz w:val="20"/>
                <w:szCs w:val="20"/>
                <w:lang w:val="en-IE"/>
              </w:rPr>
            </w:pPr>
            <w:r>
              <w:rPr>
                <w:rFonts w:ascii="Aptos" w:hAnsi="Aptos" w:cs="Arial"/>
                <w:b/>
                <w:sz w:val="20"/>
                <w:szCs w:val="20"/>
                <w:lang w:val="en-IE"/>
              </w:rPr>
              <w:t xml:space="preserve">Contains all genomes, available on </w:t>
            </w:r>
            <w:proofErr w:type="spellStart"/>
            <w:r>
              <w:rPr>
                <w:rFonts w:ascii="Aptos" w:hAnsi="Aptos" w:cs="Arial"/>
                <w:b/>
                <w:sz w:val="20"/>
                <w:szCs w:val="20"/>
                <w:lang w:val="en-IE"/>
              </w:rPr>
              <w:t>ncbi</w:t>
            </w:r>
            <w:proofErr w:type="spellEnd"/>
            <w:r>
              <w:rPr>
                <w:rFonts w:ascii="Aptos" w:hAnsi="Aptos" w:cs="Arial"/>
                <w:b/>
                <w:sz w:val="20"/>
                <w:szCs w:val="20"/>
                <w:lang w:val="en-IE"/>
              </w:rPr>
              <w:t xml:space="preserve"> or not in a </w:t>
            </w:r>
            <w:proofErr w:type="spellStart"/>
            <w:r>
              <w:rPr>
                <w:rFonts w:ascii="Aptos" w:hAnsi="Aptos" w:cs="Arial"/>
                <w:b/>
                <w:sz w:val="20"/>
                <w:szCs w:val="20"/>
                <w:lang w:val="en-IE"/>
              </w:rPr>
              <w:t>gzipped</w:t>
            </w:r>
            <w:proofErr w:type="spellEnd"/>
            <w:r>
              <w:rPr>
                <w:rFonts w:ascii="Aptos" w:hAnsi="Aptos" w:cs="Arial"/>
                <w:b/>
                <w:sz w:val="20"/>
                <w:szCs w:val="20"/>
                <w:lang w:val="en-IE"/>
              </w:rPr>
              <w:t xml:space="preserve"> </w:t>
            </w:r>
            <w:proofErr w:type="spellStart"/>
            <w:r>
              <w:rPr>
                <w:rFonts w:ascii="Aptos" w:hAnsi="Aptos" w:cs="Arial"/>
                <w:b/>
                <w:sz w:val="20"/>
                <w:szCs w:val="20"/>
                <w:lang w:val="en-IE"/>
              </w:rPr>
              <w:t>genbank</w:t>
            </w:r>
            <w:proofErr w:type="spellEnd"/>
            <w:r>
              <w:rPr>
                <w:rFonts w:ascii="Aptos" w:hAnsi="Aptos" w:cs="Arial"/>
                <w:b/>
                <w:sz w:val="20"/>
                <w:szCs w:val="20"/>
                <w:lang w:val="en-IE"/>
              </w:rPr>
              <w:t xml:space="preserve"> format</w:t>
            </w:r>
          </w:p>
        </w:tc>
      </w:tr>
    </w:tbl>
    <w:p w14:paraId="76CF3ED3" w14:textId="77777777" w:rsidR="00EE11BD" w:rsidRDefault="00EE11BD">
      <w:pPr>
        <w:rPr>
          <w:lang w:val="en-IE"/>
        </w:rPr>
      </w:pPr>
    </w:p>
    <w:tbl>
      <w:tblPr>
        <w:tblStyle w:val="TableGrid"/>
        <w:tblW w:w="8926" w:type="dxa"/>
        <w:tblLayout w:type="fixed"/>
        <w:tblLook w:val="04A0" w:firstRow="1" w:lastRow="0" w:firstColumn="1" w:lastColumn="0" w:noHBand="0" w:noVBand="1"/>
      </w:tblPr>
      <w:tblGrid>
        <w:gridCol w:w="8926"/>
      </w:tblGrid>
      <w:tr w:rsidR="00EE11BD" w14:paraId="244C4335" w14:textId="77777777">
        <w:tc>
          <w:tcPr>
            <w:tcW w:w="8926" w:type="dxa"/>
            <w:shd w:val="clear" w:color="auto" w:fill="F2F2F2" w:themeFill="background1" w:themeFillShade="F2"/>
          </w:tcPr>
          <w:p w14:paraId="07AA1DF7" w14:textId="77777777" w:rsidR="00EE11BD" w:rsidRDefault="00F70457">
            <w:pPr>
              <w:pStyle w:val="BodyTextIndent"/>
              <w:ind w:left="0" w:firstLine="0"/>
              <w:rPr>
                <w:rFonts w:ascii="Aptos" w:hAnsi="Aptos"/>
                <w:color w:val="0070C0"/>
                <w:sz w:val="20"/>
                <w:lang w:val="en-IE"/>
              </w:rPr>
            </w:pPr>
            <w:r>
              <w:rPr>
                <w:rFonts w:ascii="Aptos" w:hAnsi="Aptos" w:cs="Arial"/>
                <w:b/>
                <w:iCs/>
                <w:sz w:val="20"/>
                <w:lang w:val="en-IE"/>
              </w:rPr>
              <w:t xml:space="preserve">Tables, Figures:  </w:t>
            </w:r>
          </w:p>
        </w:tc>
      </w:tr>
    </w:tbl>
    <w:p w14:paraId="1CBAFDC1" w14:textId="77777777" w:rsidR="00EE11BD" w:rsidRDefault="00F70457">
      <w:pPr>
        <w:keepNext/>
        <w:rPr>
          <w:lang w:val="en-IE"/>
        </w:rPr>
      </w:pPr>
      <w:r>
        <w:rPr>
          <w:noProof/>
        </w:rPr>
        <w:lastRenderedPageBreak/>
        <w:drawing>
          <wp:inline distT="0" distB="0" distL="0" distR="0" wp14:anchorId="425F0B89" wp14:editId="534A5777">
            <wp:extent cx="5257800" cy="6162675"/>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1"/>
                    <a:stretch>
                      <a:fillRect/>
                    </a:stretch>
                  </pic:blipFill>
                  <pic:spPr bwMode="auto">
                    <a:xfrm>
                      <a:off x="0" y="0"/>
                      <a:ext cx="5257800" cy="6162675"/>
                    </a:xfrm>
                    <a:prstGeom prst="rect">
                      <a:avLst/>
                    </a:prstGeom>
                  </pic:spPr>
                </pic:pic>
              </a:graphicData>
            </a:graphic>
          </wp:inline>
        </w:drawing>
      </w:r>
    </w:p>
    <w:p w14:paraId="17716CB7" w14:textId="77777777" w:rsidR="00435C2A" w:rsidRPr="00435C2A" w:rsidRDefault="00435C2A" w:rsidP="00435C2A">
      <w:pPr>
        <w:rPr>
          <w:b/>
          <w:bCs/>
          <w:lang w:val="en-IE"/>
        </w:rPr>
      </w:pPr>
    </w:p>
    <w:p w14:paraId="4CA5A31D" w14:textId="7B9ED57F" w:rsidR="00EE11BD" w:rsidRDefault="00F70457" w:rsidP="00435C2A">
      <w:pPr>
        <w:rPr>
          <w:lang w:val="en-IE"/>
        </w:rPr>
      </w:pPr>
      <w:r w:rsidRPr="00435C2A">
        <w:rPr>
          <w:b/>
          <w:bCs/>
          <w:lang w:val="en-IE"/>
        </w:rPr>
        <w:t xml:space="preserve">Figure </w:t>
      </w:r>
      <w:r w:rsidRPr="00435C2A">
        <w:rPr>
          <w:b/>
          <w:bCs/>
          <w:lang w:val="en-IE"/>
        </w:rPr>
        <w:fldChar w:fldCharType="begin"/>
      </w:r>
      <w:r w:rsidRPr="00435C2A">
        <w:rPr>
          <w:b/>
          <w:bCs/>
          <w:lang w:val="en-IE"/>
        </w:rPr>
        <w:instrText xml:space="preserve"> SEQ Figure \* ARABIC </w:instrText>
      </w:r>
      <w:r w:rsidRPr="00435C2A">
        <w:rPr>
          <w:b/>
          <w:bCs/>
          <w:lang w:val="en-IE"/>
        </w:rPr>
        <w:fldChar w:fldCharType="separate"/>
      </w:r>
      <w:r w:rsidRPr="00435C2A">
        <w:rPr>
          <w:b/>
          <w:bCs/>
          <w:lang w:val="en-IE"/>
        </w:rPr>
        <w:t>1</w:t>
      </w:r>
      <w:r w:rsidRPr="00435C2A">
        <w:rPr>
          <w:b/>
          <w:bCs/>
          <w:lang w:val="en-IE"/>
        </w:rPr>
        <w:fldChar w:fldCharType="end"/>
      </w:r>
      <w:r w:rsidRPr="00435C2A">
        <w:rPr>
          <w:b/>
          <w:bCs/>
          <w:lang w:val="en-IE"/>
        </w:rPr>
        <w:t xml:space="preserve">: </w:t>
      </w:r>
      <w:proofErr w:type="spellStart"/>
      <w:r>
        <w:rPr>
          <w:lang w:val="en-IE"/>
        </w:rPr>
        <w:t>Foldtree</w:t>
      </w:r>
      <w:proofErr w:type="spellEnd"/>
      <w:r>
        <w:rPr>
          <w:lang w:val="en-IE"/>
        </w:rPr>
        <w:t xml:space="preserve"> structural phylogenetic tree based on the large </w:t>
      </w:r>
      <w:proofErr w:type="spellStart"/>
      <w:r>
        <w:rPr>
          <w:lang w:val="en-IE"/>
        </w:rPr>
        <w:t>terminase</w:t>
      </w:r>
      <w:proofErr w:type="spellEnd"/>
      <w:r>
        <w:rPr>
          <w:lang w:val="en-IE"/>
        </w:rPr>
        <w:t xml:space="preserve"> structure of 3896 members of </w:t>
      </w:r>
      <w:r>
        <w:rPr>
          <w:i/>
          <w:iCs/>
          <w:lang w:val="en-IE"/>
        </w:rPr>
        <w:t>Caudoviricetes</w:t>
      </w:r>
      <w:r>
        <w:rPr>
          <w:lang w:val="en-IE"/>
        </w:rPr>
        <w:t xml:space="preserve">. The classified and proposed families are shown in the inner coloured ring, and the proposed and classified orders in the outer coloured ring. Gaps in the annotation are due to a lack of classification for that level. The tree is midpoint rooted. Marine and </w:t>
      </w:r>
      <w:proofErr w:type="spellStart"/>
      <w:r w:rsidRPr="003F3735">
        <w:rPr>
          <w:i/>
          <w:iCs/>
          <w:lang w:val="en-IE"/>
        </w:rPr>
        <w:t>Pachyviridae</w:t>
      </w:r>
      <w:proofErr w:type="spellEnd"/>
      <w:r>
        <w:rPr>
          <w:lang w:val="en-IE"/>
        </w:rPr>
        <w:t xml:space="preserve"> sequences closely related to the orders were selected and used as outgroups for all other figures.</w:t>
      </w:r>
    </w:p>
    <w:p w14:paraId="096F6CC0" w14:textId="77777777" w:rsidR="00EE11BD" w:rsidRPr="00435C2A" w:rsidRDefault="00EE11BD" w:rsidP="00435C2A"/>
    <w:p w14:paraId="12ABB3BB" w14:textId="77777777" w:rsidR="00EE11BD" w:rsidRDefault="00F70457">
      <w:pPr>
        <w:keepNext/>
        <w:rPr>
          <w:lang w:val="en-IE"/>
        </w:rPr>
      </w:pPr>
      <w:r>
        <w:rPr>
          <w:noProof/>
        </w:rPr>
        <w:lastRenderedPageBreak/>
        <w:drawing>
          <wp:inline distT="0" distB="0" distL="0" distR="0" wp14:anchorId="660A621F" wp14:editId="37631CB3">
            <wp:extent cx="4311650" cy="29527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2"/>
                    <a:stretch>
                      <a:fillRect/>
                    </a:stretch>
                  </pic:blipFill>
                  <pic:spPr bwMode="auto">
                    <a:xfrm>
                      <a:off x="0" y="0"/>
                      <a:ext cx="4311650" cy="2952750"/>
                    </a:xfrm>
                    <a:prstGeom prst="rect">
                      <a:avLst/>
                    </a:prstGeom>
                  </pic:spPr>
                </pic:pic>
              </a:graphicData>
            </a:graphic>
          </wp:inline>
        </w:drawing>
      </w:r>
    </w:p>
    <w:p w14:paraId="0DF8EB13" w14:textId="77777777" w:rsidR="00435C2A" w:rsidRDefault="00435C2A" w:rsidP="00435C2A">
      <w:pPr>
        <w:rPr>
          <w:lang w:val="en-IE"/>
        </w:rPr>
      </w:pPr>
    </w:p>
    <w:p w14:paraId="601AC654" w14:textId="60CF5B92" w:rsidR="00EE11BD" w:rsidRDefault="00F70457" w:rsidP="00435C2A">
      <w:pPr>
        <w:rPr>
          <w:lang w:val="en-IE"/>
        </w:rPr>
      </w:pPr>
      <w:r w:rsidRPr="00435C2A">
        <w:rPr>
          <w:b/>
          <w:bCs/>
          <w:lang w:val="en-IE"/>
        </w:rPr>
        <w:t xml:space="preserve">Figure </w:t>
      </w:r>
      <w:r w:rsidRPr="00435C2A">
        <w:rPr>
          <w:b/>
          <w:bCs/>
          <w:lang w:val="en-IE"/>
        </w:rPr>
        <w:fldChar w:fldCharType="begin"/>
      </w:r>
      <w:r w:rsidRPr="00435C2A">
        <w:rPr>
          <w:b/>
          <w:bCs/>
          <w:lang w:val="en-IE"/>
        </w:rPr>
        <w:instrText xml:space="preserve"> SEQ Figure \* ARABIC </w:instrText>
      </w:r>
      <w:r w:rsidRPr="00435C2A">
        <w:rPr>
          <w:b/>
          <w:bCs/>
          <w:lang w:val="en-IE"/>
        </w:rPr>
        <w:fldChar w:fldCharType="separate"/>
      </w:r>
      <w:r w:rsidRPr="00435C2A">
        <w:rPr>
          <w:b/>
          <w:bCs/>
          <w:lang w:val="en-IE"/>
        </w:rPr>
        <w:t>2</w:t>
      </w:r>
      <w:r w:rsidRPr="00435C2A">
        <w:rPr>
          <w:b/>
          <w:bCs/>
          <w:lang w:val="en-IE"/>
        </w:rPr>
        <w:fldChar w:fldCharType="end"/>
      </w:r>
      <w:r w:rsidRPr="00435C2A">
        <w:rPr>
          <w:b/>
          <w:bCs/>
          <w:lang w:val="en-IE"/>
        </w:rPr>
        <w:t>:</w:t>
      </w:r>
      <w:r>
        <w:rPr>
          <w:lang w:val="en-IE"/>
        </w:rPr>
        <w:t xml:space="preserve"> Core-gene structural phylogenetic species tree of the three orders based on gene trees created using ASTRAL-Pro3 v1.2.2</w:t>
      </w:r>
      <w:r>
        <w:fldChar w:fldCharType="begin"/>
      </w:r>
      <w:r>
        <w:rPr>
          <w:lang w:val="en-IE"/>
        </w:rPr>
        <w:instrText>ADDIN ZOTERO_ITEM CSL_CITATION {"citationID":"M6JpYGXb","properties":{"formattedCitation":"\\super 5\\nosupersub{}","plainCitation":"5","noteIndex":0},"citationItems":[{"id":348,"uris":["http://zotero.org/users/14304502/items/6GTKVUJP"],"itemData":{"id":348,"type":"article-journal","abstract":"Species tree inference from multi-copy gene trees has long been a challenge in phylogenomics. The recent method ASTRAL-Pro has made strides by enabling multi-copy gene family trees as input and has been quickly adopted. Yet, its scalability, especially memory usage, needs to improve to accommodate the ever-growing dataset size.We present ASTRAL-Pro 2, an ultrafast and memory efficient version of ASTRAL-Pro that adopts a placement-based optimization algorithm for significantly better scalability without sacrificing accuracy.The source code and binary files are publicly available at https://github.com/chaoszhang/ASTER; data are available at https://github.com/chaoszhang/A-Pro2_data.Supplementary data are available at Bioinformatics online.","container-title":"Bioinformatics","DOI":"10.1093/bioinformatics/btac620","ISSN":"1367-4811","issue":"21","journalAbbreviation":"Bioinformatics","page":"4949-4950","source":"Silverchair","title":"ASTRAL-Pro 2: ultrafast species tree reconstruction from multi-copy gene family trees","title-short":"ASTRAL-Pro 2","volume":"38","author":[{"family":"Zhang","given":"Chao"},{"family":"Mirarab","given":"Siavash"}],"issued":{"date-parts":[["2022",11,1]]}}}],"schema":"https://github.com/citation-style-language/schema/raw/master/csl-citation.json"}</w:instrText>
      </w:r>
      <w:r>
        <w:rPr>
          <w:lang w:val="en-IE"/>
        </w:rPr>
        <w:fldChar w:fldCharType="separate"/>
      </w:r>
      <w:r>
        <w:rPr>
          <w:vertAlign w:val="superscript"/>
          <w:lang w:val="en-IE"/>
        </w:rPr>
        <w:t>5</w:t>
      </w:r>
      <w:r>
        <w:rPr>
          <w:lang w:val="en-IE"/>
        </w:rPr>
        <w:fldChar w:fldCharType="end"/>
      </w:r>
      <w:r>
        <w:rPr>
          <w:lang w:val="en-IE"/>
        </w:rPr>
        <w:t>. Branch lengths are computed using integrated CASTLES-Pro v1.2.2</w:t>
      </w:r>
      <w:r>
        <w:fldChar w:fldCharType="begin"/>
      </w:r>
      <w:r>
        <w:rPr>
          <w:lang w:val="en-IE"/>
        </w:rPr>
        <w:instrText>ADDIN ZOTERO_ITEM CSL_CITATION {"citationID":"QaxblpkJ","properties":{"formattedCitation":"\\super 6\\nosupersub{}","plainCitation":"6","noteIndex":0},"citationItems":[{"id":351,"uris":["http://zotero.org/users/14304502/items/2CKCW9JL"],"itemData":{"id":351,"type":"article-journal","abstract":"Branch lengths and topology of a species tree are essential in most downstream analyses, including estimation of diversification dates, characterization of selection, understanding adaptation, and comparative genomics. Modern phylogenomic analyses often use methods that account for the heterogeneity of evolutionary histories across the genome due to processes such as incomplete lineage sorting. However, these methods typically do not generate branch lengths in units that are usable by downstream applications, forcing phylogenomic analyses to resort to alternative shortcuts such as estimating branch lengths by concatenating gene alignments into a supermatrix. Yet, concatenation and other available approaches for estimating branch lengths fail to address heterogeneity across the genome.In this article, we derive expected values of gene tree branch lengths in substitution units under an extension of the multispecies coalescent (MSC) model that allows substitutions with varying rates across the species tree. We present CASTLES, a new technique for estimating branch lengths on the species tree from estimated gene trees that uses these expected values, and our study shows that CASTLES improves on the most accurate prior methods with respect to both speed and accuracy.CASTLES is available at https://github.com/ytabatabaee/CASTLES.","container-title":"Bioinformatics","DOI":"10.1093/bioinformatics/btad221","ISSN":"1367-4811","issue":"Supplement_1","journalAbbreviation":"Bioinformatics","page":"i185-i193","source":"Silverchair","title":"Phylogenomic branch length estimation using quartets","volume":"39","author":[{"family":"Tabatabaee","given":"Yasamin"},{"family":"Zhang","given":"Chao"},{"family":"Warnow","given":"Tandy"},{"family":"Mirarab","given":"Siavash"}],"issued":{"date-parts":[["2023",6,1]]}}}],"schema":"https://github.com/citation-style-language/schema/raw/master/csl-citation.json"}</w:instrText>
      </w:r>
      <w:r>
        <w:rPr>
          <w:lang w:val="en-IE"/>
        </w:rPr>
        <w:fldChar w:fldCharType="separate"/>
      </w:r>
      <w:r>
        <w:rPr>
          <w:vertAlign w:val="superscript"/>
          <w:lang w:val="en-IE"/>
        </w:rPr>
        <w:t>6</w:t>
      </w:r>
      <w:r>
        <w:rPr>
          <w:lang w:val="en-IE"/>
        </w:rPr>
        <w:fldChar w:fldCharType="end"/>
      </w:r>
      <w:r>
        <w:rPr>
          <w:lang w:val="en-IE"/>
        </w:rPr>
        <w:t xml:space="preserve">. 16 rounds of searching and subsampling were performed to ensure that maximum exploration of tree configurations was attempted. The tree was rooted on the outgroups. All branches with at least 95% bootstrapping are </w:t>
      </w:r>
      <w:proofErr w:type="spellStart"/>
      <w:r>
        <w:rPr>
          <w:lang w:val="en-IE"/>
        </w:rPr>
        <w:t>colored</w:t>
      </w:r>
      <w:proofErr w:type="spellEnd"/>
      <w:r>
        <w:rPr>
          <w:lang w:val="en-IE"/>
        </w:rPr>
        <w:t xml:space="preserve"> green, the classified and proposed families are shown in the inner coloured ring, and the proposed and classified orders in the outer coloured ring.</w:t>
      </w:r>
    </w:p>
    <w:p w14:paraId="7E376399" w14:textId="77777777" w:rsidR="00EE11BD" w:rsidRPr="00435C2A" w:rsidRDefault="00EE11BD" w:rsidP="00435C2A"/>
    <w:p w14:paraId="2DF4D1AE" w14:textId="77777777" w:rsidR="00EE11BD" w:rsidRDefault="00F70457">
      <w:pPr>
        <w:keepNext/>
        <w:rPr>
          <w:lang w:val="en-IE"/>
        </w:rPr>
      </w:pPr>
      <w:r>
        <w:rPr>
          <w:lang w:val="en-IE"/>
        </w:rPr>
        <w:t xml:space="preserve"> </w:t>
      </w:r>
      <w:r>
        <w:rPr>
          <w:noProof/>
        </w:rPr>
        <w:drawing>
          <wp:inline distT="0" distB="0" distL="0" distR="0" wp14:anchorId="7050C5E8" wp14:editId="65C54F0A">
            <wp:extent cx="4619625" cy="3101975"/>
            <wp:effectExtent l="0" t="0" r="0" b="0"/>
            <wp:docPr id="4" name="Picture 6" descr="A colorful circ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colorful circle with black background&#10;&#10;AI-generated content may be incorrect."/>
                    <pic:cNvPicPr>
                      <a:picLocks noChangeAspect="1" noChangeArrowheads="1"/>
                    </pic:cNvPicPr>
                  </pic:nvPicPr>
                  <pic:blipFill>
                    <a:blip r:embed="rId13"/>
                    <a:stretch>
                      <a:fillRect/>
                    </a:stretch>
                  </pic:blipFill>
                  <pic:spPr bwMode="auto">
                    <a:xfrm>
                      <a:off x="0" y="0"/>
                      <a:ext cx="4619625" cy="3101975"/>
                    </a:xfrm>
                    <a:prstGeom prst="rect">
                      <a:avLst/>
                    </a:prstGeom>
                  </pic:spPr>
                </pic:pic>
              </a:graphicData>
            </a:graphic>
          </wp:inline>
        </w:drawing>
      </w:r>
    </w:p>
    <w:p w14:paraId="52EE6919" w14:textId="77777777" w:rsidR="00435C2A" w:rsidRDefault="00435C2A" w:rsidP="00435C2A">
      <w:pPr>
        <w:rPr>
          <w:lang w:val="en-IE"/>
        </w:rPr>
      </w:pPr>
    </w:p>
    <w:p w14:paraId="241CC5AC" w14:textId="215EF51F" w:rsidR="00EE11BD" w:rsidRDefault="00F70457" w:rsidP="00435C2A">
      <w:pPr>
        <w:rPr>
          <w:lang w:val="en-IE"/>
        </w:rPr>
      </w:pPr>
      <w:r w:rsidRPr="00435C2A">
        <w:rPr>
          <w:b/>
          <w:bCs/>
          <w:lang w:val="en-IE"/>
        </w:rPr>
        <w:t xml:space="preserve">Figure </w:t>
      </w:r>
      <w:r w:rsidRPr="00435C2A">
        <w:rPr>
          <w:b/>
          <w:bCs/>
          <w:lang w:val="en-IE"/>
        </w:rPr>
        <w:fldChar w:fldCharType="begin"/>
      </w:r>
      <w:r w:rsidRPr="00435C2A">
        <w:rPr>
          <w:b/>
          <w:bCs/>
          <w:lang w:val="en-IE"/>
        </w:rPr>
        <w:instrText xml:space="preserve"> SEQ Figure \* ARABIC </w:instrText>
      </w:r>
      <w:r w:rsidRPr="00435C2A">
        <w:rPr>
          <w:b/>
          <w:bCs/>
          <w:lang w:val="en-IE"/>
        </w:rPr>
        <w:fldChar w:fldCharType="separate"/>
      </w:r>
      <w:r w:rsidRPr="00435C2A">
        <w:rPr>
          <w:b/>
          <w:bCs/>
          <w:lang w:val="en-IE"/>
        </w:rPr>
        <w:t>3</w:t>
      </w:r>
      <w:r w:rsidRPr="00435C2A">
        <w:rPr>
          <w:b/>
          <w:bCs/>
          <w:lang w:val="en-IE"/>
        </w:rPr>
        <w:fldChar w:fldCharType="end"/>
      </w:r>
      <w:r w:rsidRPr="00435C2A">
        <w:rPr>
          <w:b/>
          <w:bCs/>
          <w:lang w:val="en-IE"/>
        </w:rPr>
        <w:t>:</w:t>
      </w:r>
      <w:r>
        <w:rPr>
          <w:lang w:val="en-IE"/>
        </w:rPr>
        <w:t xml:space="preserve"> Single gene structural phylogeny of the DNA primase protein using </w:t>
      </w:r>
      <w:proofErr w:type="spellStart"/>
      <w:r>
        <w:rPr>
          <w:lang w:val="en-IE"/>
        </w:rPr>
        <w:t>foldtree</w:t>
      </w:r>
      <w:proofErr w:type="spellEnd"/>
      <w:r>
        <w:rPr>
          <w:lang w:val="en-IE"/>
        </w:rPr>
        <w:t>. The tree was rooted using Madroot</w:t>
      </w:r>
      <w:r>
        <w:fldChar w:fldCharType="begin"/>
      </w:r>
      <w:r>
        <w:rPr>
          <w:lang w:val="en-IE"/>
        </w:rPr>
        <w:instrText>ADDIN ZOTERO_ITEM CSL_CITATION {"citationID":"8Wh6v1yi","properties":{"formattedCitation":"\\super 7\\nosupersub{}","plainCitation":"7","noteIndex":0},"citationItems":[{"id":355,"uris":["http://zotero.org/users/14304502/items/NVMVDI2U"],"itemData":{"id":355,"type":"article","abstract":"The Minimal Ancestral Deviation (MAD) method is a recently introduced procedure for estimating the root of a phylogenetic tree, based only on the shape and branch lengths of the tree. The method is loosely derived from the midpoint rooting method, but, unlike its predecessor, makes use of all pairs of OTUs when positioning the root. In this note we establish properties of this method and then describe a fast and memory efficient algorithm. As a proof of principle, we use our algorithm to determine the MAD roots for simulated phylogenies with up to 100,000 OTUs. The calculations take a few minutes on a standard laptop.","DOI":"10.48550/arXiv.1811.03174","note":"arXiv:1811.03174 [q-bio]","number":"arXiv:1811.03174","publisher":"arXiv","source":"arXiv.org","title":"MAD roots for large trees","URL":"http://arxiv.org/abs/1811.03174","author":[{"family":"Bryant","given":"David"},{"family":"Charleston","given":"Michael"}],"accessed":{"date-parts":[["2025",6,18]]},"issued":{"date-parts":[["2018",11,9]]}}}],"schema":"https://github.com/citation-style-language/schema/raw/master/csl-citation.json"}</w:instrText>
      </w:r>
      <w:r>
        <w:rPr>
          <w:lang w:val="en-IE"/>
        </w:rPr>
        <w:fldChar w:fldCharType="separate"/>
      </w:r>
      <w:r>
        <w:rPr>
          <w:vertAlign w:val="superscript"/>
          <w:lang w:val="en-IE"/>
        </w:rPr>
        <w:t>7</w:t>
      </w:r>
      <w:r>
        <w:rPr>
          <w:lang w:val="en-IE"/>
        </w:rPr>
        <w:fldChar w:fldCharType="end"/>
      </w:r>
      <w:r>
        <w:rPr>
          <w:lang w:val="en-IE"/>
        </w:rPr>
        <w:t xml:space="preserve"> to ensure Minimal Ancestor Deviation(MAD). The classified and proposed families are shown in the inner coloured ring, and the proposed and classified orders in the outer coloured ring.</w:t>
      </w:r>
    </w:p>
    <w:p w14:paraId="7ED81991" w14:textId="77777777" w:rsidR="00EE11BD" w:rsidRPr="00435C2A" w:rsidRDefault="00EE11BD" w:rsidP="00435C2A"/>
    <w:p w14:paraId="4359D7D2" w14:textId="77777777" w:rsidR="00EE11BD" w:rsidRDefault="00F70457">
      <w:pPr>
        <w:keepNext/>
        <w:rPr>
          <w:lang w:val="en-IE"/>
        </w:rPr>
      </w:pPr>
      <w:r>
        <w:rPr>
          <w:lang w:val="en-IE"/>
        </w:rPr>
        <w:lastRenderedPageBreak/>
        <w:t xml:space="preserve"> </w:t>
      </w:r>
      <w:r>
        <w:rPr>
          <w:noProof/>
        </w:rPr>
        <w:drawing>
          <wp:inline distT="0" distB="0" distL="0" distR="0" wp14:anchorId="5D7612EA" wp14:editId="15C08482">
            <wp:extent cx="4320540" cy="3438525"/>
            <wp:effectExtent l="0" t="0" r="0" b="0"/>
            <wp:docPr id="5"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A screenshot of a computer&#10;&#10;AI-generated content may be incorrect."/>
                    <pic:cNvPicPr>
                      <a:picLocks noChangeAspect="1" noChangeArrowheads="1"/>
                    </pic:cNvPicPr>
                  </pic:nvPicPr>
                  <pic:blipFill>
                    <a:blip r:embed="rId14"/>
                    <a:stretch>
                      <a:fillRect/>
                    </a:stretch>
                  </pic:blipFill>
                  <pic:spPr bwMode="auto">
                    <a:xfrm>
                      <a:off x="0" y="0"/>
                      <a:ext cx="4320540" cy="3438525"/>
                    </a:xfrm>
                    <a:prstGeom prst="rect">
                      <a:avLst/>
                    </a:prstGeom>
                  </pic:spPr>
                </pic:pic>
              </a:graphicData>
            </a:graphic>
          </wp:inline>
        </w:drawing>
      </w:r>
    </w:p>
    <w:p w14:paraId="5E9F56DA" w14:textId="77777777" w:rsidR="00435C2A" w:rsidRDefault="00435C2A" w:rsidP="00435C2A"/>
    <w:p w14:paraId="68B96EC6" w14:textId="1F42BED3" w:rsidR="00EE11BD" w:rsidRPr="00435C2A" w:rsidRDefault="00F70457" w:rsidP="00435C2A">
      <w:r w:rsidRPr="00435C2A">
        <w:rPr>
          <w:b/>
          <w:bCs/>
        </w:rPr>
        <w:t xml:space="preserve">Figure </w:t>
      </w:r>
      <w:r w:rsidRPr="00435C2A">
        <w:rPr>
          <w:b/>
          <w:bCs/>
        </w:rPr>
        <w:fldChar w:fldCharType="begin"/>
      </w:r>
      <w:r w:rsidRPr="00435C2A">
        <w:rPr>
          <w:b/>
          <w:bCs/>
        </w:rPr>
        <w:instrText xml:space="preserve"> SEQ Figure \* ARABIC </w:instrText>
      </w:r>
      <w:r w:rsidRPr="00435C2A">
        <w:rPr>
          <w:b/>
          <w:bCs/>
        </w:rPr>
        <w:fldChar w:fldCharType="separate"/>
      </w:r>
      <w:r w:rsidRPr="00435C2A">
        <w:rPr>
          <w:b/>
          <w:bCs/>
        </w:rPr>
        <w:t>4</w:t>
      </w:r>
      <w:r w:rsidRPr="00435C2A">
        <w:rPr>
          <w:b/>
          <w:bCs/>
        </w:rPr>
        <w:fldChar w:fldCharType="end"/>
      </w:r>
      <w:r w:rsidRPr="00435C2A">
        <w:rPr>
          <w:b/>
          <w:bCs/>
        </w:rPr>
        <w:t>:</w:t>
      </w:r>
      <w:r w:rsidRPr="00435C2A">
        <w:t xml:space="preserve"> Single gene structural phylogeny of the large </w:t>
      </w:r>
      <w:proofErr w:type="spellStart"/>
      <w:r w:rsidRPr="00435C2A">
        <w:t>terminase</w:t>
      </w:r>
      <w:proofErr w:type="spellEnd"/>
      <w:r w:rsidRPr="00435C2A">
        <w:t xml:space="preserve"> subunit using </w:t>
      </w:r>
      <w:proofErr w:type="spellStart"/>
      <w:r w:rsidRPr="00435C2A">
        <w:t>foldtree</w:t>
      </w:r>
      <w:proofErr w:type="spellEnd"/>
      <w:r w:rsidRPr="00435C2A">
        <w:t>. The tree was rooted using Madroot</w:t>
      </w:r>
      <w:r w:rsidRPr="00435C2A">
        <w:fldChar w:fldCharType="begin"/>
      </w:r>
      <w:r w:rsidRPr="00435C2A">
        <w:instrText>ADDIN ZOTERO_ITEM CSL_CITATION {"citationID":"7OF9TT2a","properties":{"formattedCitation":"\\super 7\\nosupersub{}","plainCitation":"7","noteIndex":0},"citationItems":[{"id":355,"uris":["http://zotero.org/users/14304502/items/NVMVDI2U"],"itemData":{"id":355,"type":"article","abstract":"The Minimal Ancestral Deviation (MAD) method is a recently introduced procedure for estimating the root of a phylogenetic tree, based only on the shape and branch lengths of the tree. The method is loosely derived from the midpoint rooting method, but, unlike its predecessor, makes use of all pairs of OTUs when positioning the root. In this note we establish properties of this method and then describe a fast and memory efficient algorithm. As a proof of principle, we use our algorithm to determine the MAD roots for simulated phylogenies with up to 100,000 OTUs. The calculations take a few minutes on a standard laptop.","DOI":"10.48550/arXiv.1811.03174","note":"arXiv:1811.03174 [q-bio]","number":"arXiv:1811.03174","publisher":"arXiv","source":"arXiv.org","title":"MAD roots for large trees","URL":"http://arxiv.org/abs/1811.03174","author":[{"family":"Bryant","given":"David"},{"family":"Charleston","given":"Michael"}],"accessed":{"date-parts":[["2025",6,18]]},"issued":{"date-parts":[["2018",11,9]]}}}],"schema":"https://github.com/citation-style-language/schema/raw/master/csl-citation.json"}</w:instrText>
      </w:r>
      <w:r w:rsidRPr="00435C2A">
        <w:fldChar w:fldCharType="separate"/>
      </w:r>
      <w:r w:rsidRPr="00435C2A">
        <w:t>7</w:t>
      </w:r>
      <w:r w:rsidRPr="00435C2A">
        <w:fldChar w:fldCharType="end"/>
      </w:r>
      <w:r w:rsidRPr="00435C2A">
        <w:t xml:space="preserve"> to ensure Minimal Ancestor Deviation(MAD). The classified and proposed families are shown in the </w:t>
      </w:r>
      <w:proofErr w:type="gramStart"/>
      <w:r w:rsidRPr="00435C2A">
        <w:t xml:space="preserve">inner </w:t>
      </w:r>
      <w:proofErr w:type="spellStart"/>
      <w:r w:rsidRPr="00435C2A">
        <w:t>coloured</w:t>
      </w:r>
      <w:proofErr w:type="spellEnd"/>
      <w:proofErr w:type="gramEnd"/>
      <w:r w:rsidRPr="00435C2A">
        <w:t xml:space="preserve"> ring, and the proposed and classified orders in the </w:t>
      </w:r>
      <w:proofErr w:type="gramStart"/>
      <w:r w:rsidRPr="00435C2A">
        <w:t xml:space="preserve">outer </w:t>
      </w:r>
      <w:proofErr w:type="spellStart"/>
      <w:r w:rsidRPr="00435C2A">
        <w:t>coloured</w:t>
      </w:r>
      <w:proofErr w:type="spellEnd"/>
      <w:proofErr w:type="gramEnd"/>
      <w:r w:rsidRPr="00435C2A">
        <w:t xml:space="preserve"> ring</w:t>
      </w:r>
    </w:p>
    <w:p w14:paraId="2CDB99D1" w14:textId="77777777" w:rsidR="00EE11BD" w:rsidRPr="00435C2A" w:rsidRDefault="00EE11BD" w:rsidP="00435C2A"/>
    <w:p w14:paraId="7FA8B260" w14:textId="77777777" w:rsidR="00EE11BD" w:rsidRDefault="00F70457">
      <w:pPr>
        <w:keepNext/>
        <w:rPr>
          <w:lang w:val="en-IE"/>
        </w:rPr>
      </w:pPr>
      <w:r>
        <w:rPr>
          <w:noProof/>
        </w:rPr>
        <w:drawing>
          <wp:inline distT="0" distB="0" distL="0" distR="0" wp14:anchorId="15A83F7A" wp14:editId="7297F366">
            <wp:extent cx="4611370" cy="2859405"/>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noChangeArrowheads="1"/>
                    </pic:cNvPicPr>
                  </pic:nvPicPr>
                  <pic:blipFill>
                    <a:blip r:embed="rId15"/>
                    <a:stretch>
                      <a:fillRect/>
                    </a:stretch>
                  </pic:blipFill>
                  <pic:spPr bwMode="auto">
                    <a:xfrm>
                      <a:off x="0" y="0"/>
                      <a:ext cx="4611370" cy="2859405"/>
                    </a:xfrm>
                    <a:prstGeom prst="rect">
                      <a:avLst/>
                    </a:prstGeom>
                  </pic:spPr>
                </pic:pic>
              </a:graphicData>
            </a:graphic>
          </wp:inline>
        </w:drawing>
      </w:r>
    </w:p>
    <w:p w14:paraId="57F313A4" w14:textId="77777777" w:rsidR="00435C2A" w:rsidRDefault="00435C2A" w:rsidP="00435C2A">
      <w:pPr>
        <w:rPr>
          <w:lang w:val="en-IE"/>
        </w:rPr>
      </w:pPr>
    </w:p>
    <w:p w14:paraId="05D009B6" w14:textId="21D3DDDC" w:rsidR="00EE11BD" w:rsidRDefault="00F70457" w:rsidP="00435C2A">
      <w:pPr>
        <w:rPr>
          <w:lang w:val="en-IE"/>
        </w:rPr>
      </w:pPr>
      <w:r w:rsidRPr="00435C2A">
        <w:rPr>
          <w:b/>
          <w:bCs/>
          <w:lang w:val="en-IE"/>
        </w:rPr>
        <w:t xml:space="preserve">Figure </w:t>
      </w:r>
      <w:r w:rsidRPr="00435C2A">
        <w:rPr>
          <w:b/>
          <w:bCs/>
          <w:lang w:val="en-IE"/>
        </w:rPr>
        <w:fldChar w:fldCharType="begin"/>
      </w:r>
      <w:r w:rsidRPr="00435C2A">
        <w:rPr>
          <w:b/>
          <w:bCs/>
          <w:lang w:val="en-IE"/>
        </w:rPr>
        <w:instrText xml:space="preserve"> SEQ Figure \* ARABIC </w:instrText>
      </w:r>
      <w:r w:rsidRPr="00435C2A">
        <w:rPr>
          <w:b/>
          <w:bCs/>
          <w:lang w:val="en-IE"/>
        </w:rPr>
        <w:fldChar w:fldCharType="separate"/>
      </w:r>
      <w:r w:rsidRPr="00435C2A">
        <w:rPr>
          <w:b/>
          <w:bCs/>
          <w:lang w:val="en-IE"/>
        </w:rPr>
        <w:t>5</w:t>
      </w:r>
      <w:r w:rsidRPr="00435C2A">
        <w:rPr>
          <w:b/>
          <w:bCs/>
          <w:lang w:val="en-IE"/>
        </w:rPr>
        <w:fldChar w:fldCharType="end"/>
      </w:r>
      <w:r w:rsidRPr="00435C2A">
        <w:rPr>
          <w:b/>
          <w:bCs/>
          <w:lang w:val="en-IE"/>
        </w:rPr>
        <w:t>:</w:t>
      </w:r>
      <w:r>
        <w:rPr>
          <w:lang w:val="en-IE"/>
        </w:rPr>
        <w:t xml:space="preserve"> Single gene structural phylogeny of the portal protein using </w:t>
      </w:r>
      <w:proofErr w:type="spellStart"/>
      <w:r>
        <w:rPr>
          <w:lang w:val="en-IE"/>
        </w:rPr>
        <w:t>foldtree</w:t>
      </w:r>
      <w:proofErr w:type="spellEnd"/>
      <w:r>
        <w:rPr>
          <w:lang w:val="en-IE"/>
        </w:rPr>
        <w:t>. The tree was rooted using Madroot</w:t>
      </w:r>
      <w:r>
        <w:fldChar w:fldCharType="begin"/>
      </w:r>
      <w:r>
        <w:rPr>
          <w:lang w:val="en-IE"/>
        </w:rPr>
        <w:instrText>ADDIN ZOTERO_ITEM CSL_CITATION {"citationID":"78DcDJcE","properties":{"formattedCitation":"\\super 7\\nosupersub{}","plainCitation":"7","noteIndex":0},"citationItems":[{"id":355,"uris":["http://zotero.org/users/14304502/items/NVMVDI2U"],"itemData":{"id":355,"type":"article","abstract":"The Minimal Ancestral Deviation (MAD) method is a recently introduced procedure for estimating the root of a phylogenetic tree, based only on the shape and branch lengths of the tree. The method is loosely derived from the midpoint rooting method, but, unlike its predecessor, makes use of all pairs of OTUs when positioning the root. In this note we establish properties of this method and then describe a fast and memory efficient algorithm. As a proof of principle, we use our algorithm to determine the MAD roots for simulated phylogenies with up to 100,000 OTUs. The calculations take a few minutes on a standard laptop.","DOI":"10.48550/arXiv.1811.03174","note":"arXiv:1811.03174 [q-bio]","number":"arXiv:1811.03174","publisher":"arXiv","source":"arXiv.org","title":"MAD roots for large trees","URL":"http://arxiv.org/abs/1811.03174","author":[{"family":"Bryant","given":"David"},{"family":"Charleston","given":"Michael"}],"accessed":{"date-parts":[["2025",6,18]]},"issued":{"date-parts":[["2018",11,9]]}}}],"schema":"https://github.com/citation-style-language/schema/raw/master/csl-citation.json"}</w:instrText>
      </w:r>
      <w:r>
        <w:rPr>
          <w:lang w:val="en-IE"/>
        </w:rPr>
        <w:fldChar w:fldCharType="separate"/>
      </w:r>
      <w:r>
        <w:rPr>
          <w:vertAlign w:val="superscript"/>
          <w:lang w:val="en-IE"/>
        </w:rPr>
        <w:t>7</w:t>
      </w:r>
      <w:r>
        <w:rPr>
          <w:lang w:val="en-IE"/>
        </w:rPr>
        <w:fldChar w:fldCharType="end"/>
      </w:r>
      <w:r>
        <w:rPr>
          <w:lang w:val="en-IE"/>
        </w:rPr>
        <w:t xml:space="preserve"> to ensure Minimal Ancestor Deviation(MAD). The classified and proposed families are shown in the inner coloured ring, and the proposed and classified orders in the outer coloured ring</w:t>
      </w:r>
    </w:p>
    <w:p w14:paraId="4367B83D" w14:textId="77777777" w:rsidR="00EE11BD" w:rsidRDefault="00F70457">
      <w:pPr>
        <w:keepNext/>
        <w:rPr>
          <w:lang w:val="en-IE"/>
        </w:rPr>
      </w:pPr>
      <w:r>
        <w:rPr>
          <w:noProof/>
        </w:rPr>
        <w:lastRenderedPageBreak/>
        <w:drawing>
          <wp:inline distT="0" distB="0" distL="0" distR="0" wp14:anchorId="4A618637" wp14:editId="7CE508D2">
            <wp:extent cx="4749661" cy="3085322"/>
            <wp:effectExtent l="0" t="0" r="0" b="127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pic:cNvPicPr>
                      <a:picLocks noChangeAspect="1" noChangeArrowheads="1"/>
                    </pic:cNvPicPr>
                  </pic:nvPicPr>
                  <pic:blipFill>
                    <a:blip r:embed="rId16"/>
                    <a:stretch>
                      <a:fillRect/>
                    </a:stretch>
                  </pic:blipFill>
                  <pic:spPr bwMode="auto">
                    <a:xfrm>
                      <a:off x="0" y="0"/>
                      <a:ext cx="4761803" cy="3093209"/>
                    </a:xfrm>
                    <a:prstGeom prst="rect">
                      <a:avLst/>
                    </a:prstGeom>
                  </pic:spPr>
                </pic:pic>
              </a:graphicData>
            </a:graphic>
          </wp:inline>
        </w:drawing>
      </w:r>
    </w:p>
    <w:p w14:paraId="38D23B5E" w14:textId="77777777" w:rsidR="00435C2A" w:rsidRDefault="00435C2A" w:rsidP="00435C2A"/>
    <w:p w14:paraId="7D13D7A5" w14:textId="573D8780" w:rsidR="00EE11BD" w:rsidRPr="00435C2A" w:rsidRDefault="00F70457" w:rsidP="00435C2A">
      <w:r w:rsidRPr="00435C2A">
        <w:rPr>
          <w:b/>
          <w:bCs/>
        </w:rPr>
        <w:t xml:space="preserve">Figure </w:t>
      </w:r>
      <w:r w:rsidRPr="00435C2A">
        <w:rPr>
          <w:b/>
          <w:bCs/>
        </w:rPr>
        <w:fldChar w:fldCharType="begin"/>
      </w:r>
      <w:r w:rsidRPr="00435C2A">
        <w:rPr>
          <w:b/>
          <w:bCs/>
        </w:rPr>
        <w:instrText xml:space="preserve"> SEQ Figure \* ARABIC </w:instrText>
      </w:r>
      <w:r w:rsidRPr="00435C2A">
        <w:rPr>
          <w:b/>
          <w:bCs/>
        </w:rPr>
        <w:fldChar w:fldCharType="separate"/>
      </w:r>
      <w:r w:rsidRPr="00435C2A">
        <w:rPr>
          <w:b/>
          <w:bCs/>
        </w:rPr>
        <w:t>6</w:t>
      </w:r>
      <w:r w:rsidRPr="00435C2A">
        <w:rPr>
          <w:b/>
          <w:bCs/>
        </w:rPr>
        <w:fldChar w:fldCharType="end"/>
      </w:r>
      <w:r w:rsidRPr="00435C2A">
        <w:rPr>
          <w:b/>
          <w:bCs/>
        </w:rPr>
        <w:t>:</w:t>
      </w:r>
      <w:r w:rsidR="00435C2A">
        <w:t xml:space="preserve"> </w:t>
      </w:r>
      <w:r w:rsidRPr="00435C2A">
        <w:t xml:space="preserve">Single gene structural phylogeny of the major capsid protein using </w:t>
      </w:r>
      <w:proofErr w:type="spellStart"/>
      <w:r w:rsidRPr="00435C2A">
        <w:t>foldtree</w:t>
      </w:r>
      <w:proofErr w:type="spellEnd"/>
      <w:r w:rsidRPr="00435C2A">
        <w:t>. The tree was rooted using Madroot</w:t>
      </w:r>
      <w:r w:rsidRPr="00435C2A">
        <w:fldChar w:fldCharType="begin"/>
      </w:r>
      <w:r w:rsidRPr="00435C2A">
        <w:instrText>ADDIN ZOTERO_ITEM CSL_CITATION {"citationID":"3gOezOfS","properties":{"formattedCitation":"\\super 7\\nosupersub{}","plainCitation":"7","noteIndex":0},"citationItems":[{"id":355,"uris":["http://zotero.org/users/14304502/items/NVMVDI2U"],"itemData":{"id":355,"type":"article","abstract":"The Minimal Ancestral Deviation (MAD) method is a recently introduced procedure for estimating the root of a phylogenetic tree, based only on the shape and branch lengths of the tree. The method is loosely derived from the midpoint rooting method, but, unlike its predecessor, makes use of all pairs of OTUs when positioning the root. In this note we establish properties of this method and then describe a fast and memory efficient algorithm. As a proof of principle, we use our algorithm to determine the MAD roots for simulated phylogenies with up to 100,000 OTUs. The calculations take a few minutes on a standard laptop.","DOI":"10.48550/arXiv.1811.03174","note":"arXiv:1811.03174 [q-bio]","number":"arXiv:1811.03174","publisher":"arXiv","source":"arXiv.org","title":"MAD roots for large trees","URL":"http://arxiv.org/abs/1811.03174","author":[{"family":"Bryant","given":"David"},{"family":"Charleston","given":"Michael"}],"accessed":{"date-parts":[["2025",6,18]]},"issued":{"date-parts":[["2018",11,9]]}}}],"schema":"https://github.com/citation-style-language/schema/raw/master/csl-citation.json"}</w:instrText>
      </w:r>
      <w:r w:rsidRPr="00435C2A">
        <w:fldChar w:fldCharType="separate"/>
      </w:r>
      <w:r w:rsidRPr="00435C2A">
        <w:t>7</w:t>
      </w:r>
      <w:r w:rsidRPr="00435C2A">
        <w:fldChar w:fldCharType="end"/>
      </w:r>
      <w:r w:rsidRPr="00435C2A">
        <w:t xml:space="preserve"> to ensure Minimal Ancestor Deviation(MAD). The classified and proposed families are shown in the </w:t>
      </w:r>
      <w:proofErr w:type="gramStart"/>
      <w:r w:rsidRPr="00435C2A">
        <w:t xml:space="preserve">inner </w:t>
      </w:r>
      <w:proofErr w:type="spellStart"/>
      <w:r w:rsidRPr="00435C2A">
        <w:t>coloured</w:t>
      </w:r>
      <w:proofErr w:type="spellEnd"/>
      <w:proofErr w:type="gramEnd"/>
      <w:r w:rsidRPr="00435C2A">
        <w:t xml:space="preserve"> ring, and the proposed and classified orders in the </w:t>
      </w:r>
      <w:proofErr w:type="gramStart"/>
      <w:r w:rsidRPr="00435C2A">
        <w:t xml:space="preserve">outer </w:t>
      </w:r>
      <w:proofErr w:type="spellStart"/>
      <w:r w:rsidRPr="00435C2A">
        <w:t>coloured</w:t>
      </w:r>
      <w:proofErr w:type="spellEnd"/>
      <w:proofErr w:type="gramEnd"/>
      <w:r w:rsidRPr="00435C2A">
        <w:t xml:space="preserve"> ring</w:t>
      </w:r>
    </w:p>
    <w:p w14:paraId="7D44CCD3" w14:textId="77777777" w:rsidR="00EE11BD" w:rsidRPr="00435C2A" w:rsidRDefault="00EE11BD" w:rsidP="00435C2A"/>
    <w:p w14:paraId="5372AC78" w14:textId="77777777" w:rsidR="00EE11BD" w:rsidRDefault="00F70457">
      <w:pPr>
        <w:keepNext/>
        <w:rPr>
          <w:lang w:val="en-IE"/>
        </w:rPr>
      </w:pPr>
      <w:r>
        <w:rPr>
          <w:noProof/>
        </w:rPr>
        <w:drawing>
          <wp:inline distT="0" distB="0" distL="0" distR="0" wp14:anchorId="7654FD37" wp14:editId="6B3D0961">
            <wp:extent cx="4428448" cy="3066662"/>
            <wp:effectExtent l="0" t="0" r="0" b="635"/>
            <wp:docPr id="8" name="Picture 5" descr="A colorful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A colorful circle with a black background&#10;&#10;AI-generated content may be incorrect."/>
                    <pic:cNvPicPr>
                      <a:picLocks noChangeAspect="1" noChangeArrowheads="1"/>
                    </pic:cNvPicPr>
                  </pic:nvPicPr>
                  <pic:blipFill>
                    <a:blip r:embed="rId17"/>
                    <a:stretch>
                      <a:fillRect/>
                    </a:stretch>
                  </pic:blipFill>
                  <pic:spPr bwMode="auto">
                    <a:xfrm>
                      <a:off x="0" y="0"/>
                      <a:ext cx="4438212" cy="3073424"/>
                    </a:xfrm>
                    <a:prstGeom prst="rect">
                      <a:avLst/>
                    </a:prstGeom>
                  </pic:spPr>
                </pic:pic>
              </a:graphicData>
            </a:graphic>
          </wp:inline>
        </w:drawing>
      </w:r>
    </w:p>
    <w:p w14:paraId="03C659A6" w14:textId="77777777" w:rsidR="00435C2A" w:rsidRPr="00435C2A" w:rsidRDefault="00435C2A" w:rsidP="00435C2A">
      <w:pPr>
        <w:rPr>
          <w:b/>
          <w:bCs/>
          <w:lang w:val="en-IE"/>
        </w:rPr>
      </w:pPr>
    </w:p>
    <w:p w14:paraId="714F4E22" w14:textId="1F9DCCCB" w:rsidR="00EE11BD" w:rsidRDefault="00F70457" w:rsidP="00435C2A">
      <w:pPr>
        <w:rPr>
          <w:lang w:val="en-IE"/>
        </w:rPr>
      </w:pPr>
      <w:r w:rsidRPr="00435C2A">
        <w:rPr>
          <w:b/>
          <w:bCs/>
          <w:lang w:val="en-IE"/>
        </w:rPr>
        <w:t xml:space="preserve">Figure </w:t>
      </w:r>
      <w:r w:rsidRPr="00435C2A">
        <w:rPr>
          <w:b/>
          <w:bCs/>
          <w:lang w:val="en-IE"/>
        </w:rPr>
        <w:fldChar w:fldCharType="begin"/>
      </w:r>
      <w:r w:rsidRPr="00435C2A">
        <w:rPr>
          <w:b/>
          <w:bCs/>
          <w:lang w:val="en-IE"/>
        </w:rPr>
        <w:instrText xml:space="preserve"> SEQ Figure \* ARABIC </w:instrText>
      </w:r>
      <w:r w:rsidRPr="00435C2A">
        <w:rPr>
          <w:b/>
          <w:bCs/>
          <w:lang w:val="en-IE"/>
        </w:rPr>
        <w:fldChar w:fldCharType="separate"/>
      </w:r>
      <w:r w:rsidRPr="00435C2A">
        <w:rPr>
          <w:b/>
          <w:bCs/>
          <w:lang w:val="en-IE"/>
        </w:rPr>
        <w:t>7</w:t>
      </w:r>
      <w:r w:rsidRPr="00435C2A">
        <w:rPr>
          <w:b/>
          <w:bCs/>
          <w:lang w:val="en-IE"/>
        </w:rPr>
        <w:fldChar w:fldCharType="end"/>
      </w:r>
      <w:r w:rsidRPr="00435C2A">
        <w:rPr>
          <w:b/>
          <w:bCs/>
          <w:lang w:val="en-IE"/>
        </w:rPr>
        <w:t>:</w:t>
      </w:r>
      <w:r>
        <w:rPr>
          <w:lang w:val="en-IE"/>
        </w:rPr>
        <w:t xml:space="preserve"> Core-gene phylogenetic tree of the three orders based on concatenated protein created with MAFFT v7.273</w:t>
      </w:r>
      <w:r>
        <w:fldChar w:fldCharType="begin"/>
      </w:r>
      <w:r>
        <w:rPr>
          <w:lang w:val="en-IE"/>
        </w:rPr>
        <w:instrText>ADDIN ZOTERO_ITEM CSL_CITATION {"citationID":"8Yi2D8Hv","properties":{"formattedCitation":"\\super 8\\nosupersub{}","plainCitation":"8","noteIndex":0},"citationItems":[{"id":138,"uris":["http://zotero.org/users/14304502/items/37NRG5IP"],"itemData":{"id":138,"type":"article-journal","abstract":"We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limitations.","container-title":"Molecular Biology and Evolution","DOI":"10.1093/molbev/mst010","ISSN":"0737-4038","issue":"4","journalAbbreviation":"Mol Biol Evol","note":"PMID: 23329690\nPMCID: PMC3603318","page":"772-780","source":"PubMed Central","title":"MAFFT Multiple Sequence Alignment Software Version 7: Improvements in Performance and Usability","title-short":"MAFFT Multiple Sequence Alignment Software Version 7","volume":"30","author":[{"family":"Katoh","given":"Kazutaka"},{"family":"Standley","given":"Daron M."}],"issued":{"date-parts":[["2013",4]]}}}],"schema":"https://github.com/citation-style-language/schema/raw/master/csl-citation.json"}</w:instrText>
      </w:r>
      <w:r>
        <w:rPr>
          <w:lang w:val="en-IE"/>
        </w:rPr>
        <w:fldChar w:fldCharType="separate"/>
      </w:r>
      <w:r>
        <w:rPr>
          <w:vertAlign w:val="superscript"/>
          <w:lang w:val="en-IE"/>
        </w:rPr>
        <w:t>8</w:t>
      </w:r>
      <w:r>
        <w:rPr>
          <w:lang w:val="en-IE"/>
        </w:rPr>
        <w:fldChar w:fldCharType="end"/>
      </w:r>
      <w:r>
        <w:rPr>
          <w:lang w:val="en-IE"/>
        </w:rPr>
        <w:t xml:space="preserve"> using the L-INS-i algorithm. Multiple alignments were curated using the ClipKit</w:t>
      </w:r>
      <w:r>
        <w:fldChar w:fldCharType="begin"/>
      </w:r>
      <w:r>
        <w:rPr>
          <w:lang w:val="en-IE"/>
        </w:rPr>
        <w:instrText>ADDIN ZOTERO_ITEM CSL_CITATION {"citationID":"XQOZAnU9","properties":{"formattedCitation":"\\super 9\\nosupersub{}","plainCitation":"9","noteIndex":0},"citationItems":[{"id":161,"uris":["http://zotero.org/users/14304502/items/8P38MP45"],"itemData":{"id":161,"type":"article-journal","abstract":"Highly divergent sites in multiple sequence alignments (MSAs), which can stem from erroneous inference of homology and saturation of substitutions, are thought to negatively impact phylogenetic inference. Thus, several different trimming strategies have been developed for identifying and removing these sites prior to phylogenetic inference. However, a recent study reported that doing so can worsen inference, underscoring the need for alternative alignment trimming strategies. Here, we introduce ClipKIT, an alignment trimming software that, rather than identifying and removing putatively phylogenetically uninformative sites, instead aims to identify and retain parsimony-informative sites, which are known to be phylogenetically informative. To test the efficacy of ClipKIT, we examined the accuracy and support of phylogenies inferred from 14 different alignment trimming strategies, including those implemented in ClipKIT, across nearly 140,000 alignments from a broad sampling of evolutionary histories. Phylogenies inferred from ClipKIT-trimmed alignments are accurate, robust, and time saving. Furthermore, ClipKIT consistently outperformed other trimming methods across diverse datasets, suggesting that strategies based on identifying and retaining parsimony-informative sites provide a robust framework for alignment trimming.","container-title":"PLOS Biology","DOI":"10.1371/journal.pbio.3001007","ISSN":"1545-7885","issue":"12","journalAbbreviation":"PLoS Biol","language":"en","page":"e3001007","source":"DOI.org (Crossref)","title":"ClipKIT: A multiple sequence alignment trimming software for accurate phylogenomic inference","title-short":"ClipKIT","volume":"18","author":[{"family":"Steenwyk","given":"Jacob L."},{"family":"Buida","given":"Thomas J."},{"family":"Li","given":"Yuanning"},{"family":"Shen","given":"Xing-Xing"},{"family":"Rokas","given":"Antonis"}],"editor":[{"family":"Hejnol","given":"Andreas"}],"issued":{"date-parts":[["2020",12,2]]}}}],"schema":"https://github.com/citation-style-language/schema/raw/master/csl-citation.json"}</w:instrText>
      </w:r>
      <w:r>
        <w:rPr>
          <w:lang w:val="en-IE"/>
        </w:rPr>
        <w:fldChar w:fldCharType="separate"/>
      </w:r>
      <w:r>
        <w:rPr>
          <w:rFonts w:ascii="Aptos" w:hAnsi="Aptos"/>
          <w:vertAlign w:val="superscript"/>
          <w:lang w:val="en-IE"/>
        </w:rPr>
        <w:t>9</w:t>
      </w:r>
      <w:r>
        <w:rPr>
          <w:lang w:val="en-IE"/>
        </w:rPr>
        <w:fldChar w:fldCharType="end"/>
      </w:r>
      <w:r>
        <w:rPr>
          <w:lang w:val="en-IE"/>
        </w:rPr>
        <w:t xml:space="preserve"> </w:t>
      </w:r>
      <w:proofErr w:type="spellStart"/>
      <w:r>
        <w:rPr>
          <w:lang w:val="en-IE"/>
        </w:rPr>
        <w:t>Kpic</w:t>
      </w:r>
      <w:proofErr w:type="spellEnd"/>
      <w:r>
        <w:rPr>
          <w:lang w:val="en-IE"/>
        </w:rPr>
        <w:t xml:space="preserve"> method to select informative sites. The concatenation of these alignments was used to infer maximum likelihood trees with </w:t>
      </w:r>
      <w:proofErr w:type="spellStart"/>
      <w:r>
        <w:rPr>
          <w:lang w:val="en-IE"/>
        </w:rPr>
        <w:t>IQTree</w:t>
      </w:r>
      <w:proofErr w:type="spellEnd"/>
      <w:r>
        <w:rPr>
          <w:lang w:val="en-IE"/>
        </w:rPr>
        <w:t xml:space="preserve"> version 2.3.4</w:t>
      </w:r>
      <w:r>
        <w:fldChar w:fldCharType="begin"/>
      </w:r>
      <w:r>
        <w:rPr>
          <w:rFonts w:ascii="Arial" w:hAnsi="Arial"/>
          <w:lang w:val="en-IE"/>
        </w:rPr>
        <w:instrText>ADDIN ZOTERO_ITEM CSL_CITATION {"citationID":"K11CPw9v","properties":{"formattedCitation":"\\super 10\\nosupersub{}","plainCitation":"10","noteIndex":0},"citationItems":[{"id":46,"uris":["http://zotero.org/users/14304502/items/Z8R85FM5"],"itemData":{"id":46,"type":"article-journal","abstract":"IQ-TREE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Evolution","DOI":"10.1093/molbev/msaa015","ISSN":"0737-4038","issue":"5","journalAbbreviation":"Molecular Biology and Evolution","page":"1530-1534","source":"Silverchair","title":"IQ-TREE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D"},{"family":"Haeseler","given":"Arndt","non-dropping-particle":"von"},{"family":"Lanfear","given":"Robert"}],"issued":{"date-parts":[["2020",5,1]]}}}],"schema":"https://github.com/citation-style-language/schema/raw/master/csl-citation.json"}</w:instrText>
      </w:r>
      <w:r>
        <w:rPr>
          <w:rFonts w:ascii="Arial" w:hAnsi="Arial"/>
          <w:lang w:val="en-IE"/>
        </w:rPr>
        <w:fldChar w:fldCharType="separate"/>
      </w:r>
      <w:r>
        <w:rPr>
          <w:rFonts w:ascii="Arial" w:hAnsi="Arial" w:cs="Arial"/>
          <w:vertAlign w:val="superscript"/>
          <w:lang w:val="en-IE"/>
        </w:rPr>
        <w:t>10</w:t>
      </w:r>
      <w:r>
        <w:rPr>
          <w:rFonts w:ascii="Arial" w:hAnsi="Arial"/>
          <w:lang w:val="en-IE"/>
        </w:rPr>
        <w:fldChar w:fldCharType="end"/>
      </w:r>
      <w:r>
        <w:rPr>
          <w:rFonts w:ascii="Arial" w:hAnsi="Arial" w:cs="Arial"/>
          <w:lang w:val="en-IE"/>
        </w:rPr>
        <w:t xml:space="preserve"> </w:t>
      </w:r>
      <w:r>
        <w:rPr>
          <w:lang w:val="en-IE"/>
        </w:rPr>
        <w:t xml:space="preserve">(options </w:t>
      </w:r>
      <w:r>
        <w:rPr>
          <w:rFonts w:ascii="Consolas" w:hAnsi="Consolas" w:cs="Courier New"/>
          <w:color w:val="666600"/>
          <w:sz w:val="17"/>
          <w:szCs w:val="17"/>
          <w:lang w:val="en-IE"/>
        </w:rPr>
        <w:t>-</w:t>
      </w:r>
      <w:proofErr w:type="spellStart"/>
      <w:r>
        <w:rPr>
          <w:rFonts w:ascii="Consolas" w:hAnsi="Consolas" w:cs="Courier New"/>
          <w:color w:val="000000"/>
          <w:sz w:val="17"/>
          <w:szCs w:val="17"/>
          <w:lang w:val="en-IE"/>
        </w:rPr>
        <w:t>allnni</w:t>
      </w:r>
      <w:proofErr w:type="spellEnd"/>
      <w:r>
        <w:rPr>
          <w:rFonts w:ascii="Consolas" w:hAnsi="Consolas" w:cs="Courier New"/>
          <w:color w:val="000000"/>
          <w:sz w:val="17"/>
          <w:szCs w:val="17"/>
          <w:lang w:val="en-IE"/>
        </w:rPr>
        <w:t xml:space="preserve"> </w:t>
      </w:r>
      <w:r>
        <w:rPr>
          <w:rFonts w:ascii="Consolas" w:hAnsi="Consolas" w:cs="Courier New"/>
          <w:color w:val="666600"/>
          <w:sz w:val="17"/>
          <w:szCs w:val="17"/>
          <w:lang w:val="en-IE"/>
        </w:rPr>
        <w:t>-</w:t>
      </w:r>
      <w:r>
        <w:rPr>
          <w:rFonts w:ascii="Consolas" w:hAnsi="Consolas" w:cs="Courier New"/>
          <w:color w:val="000000"/>
          <w:sz w:val="17"/>
          <w:szCs w:val="17"/>
          <w:lang w:val="en-IE"/>
        </w:rPr>
        <w:t xml:space="preserve">nm </w:t>
      </w:r>
      <w:r>
        <w:rPr>
          <w:rFonts w:ascii="Consolas" w:hAnsi="Consolas" w:cs="Courier New"/>
          <w:color w:val="006666"/>
          <w:sz w:val="17"/>
          <w:szCs w:val="17"/>
          <w:lang w:val="en-IE"/>
        </w:rPr>
        <w:t>4000</w:t>
      </w:r>
      <w:r>
        <w:rPr>
          <w:lang w:val="en-IE"/>
        </w:rPr>
        <w:t xml:space="preserve">). We evaluated the node supports using the option </w:t>
      </w:r>
      <w:r>
        <w:rPr>
          <w:rFonts w:ascii="Consolas" w:hAnsi="Consolas" w:cs="Courier New"/>
          <w:color w:val="666600"/>
          <w:sz w:val="17"/>
          <w:szCs w:val="17"/>
          <w:lang w:val="en-IE"/>
        </w:rPr>
        <w:t>-</w:t>
      </w:r>
      <w:r>
        <w:rPr>
          <w:rFonts w:ascii="Consolas" w:hAnsi="Consolas" w:cs="Courier New"/>
          <w:color w:val="000000"/>
          <w:sz w:val="17"/>
          <w:szCs w:val="17"/>
          <w:lang w:val="en-IE"/>
        </w:rPr>
        <w:t xml:space="preserve">bb </w:t>
      </w:r>
      <w:r>
        <w:rPr>
          <w:rFonts w:ascii="Consolas" w:hAnsi="Consolas" w:cs="Courier New"/>
          <w:color w:val="006666"/>
          <w:sz w:val="17"/>
          <w:szCs w:val="17"/>
          <w:lang w:val="en-IE"/>
        </w:rPr>
        <w:t>1</w:t>
      </w:r>
      <w:r>
        <w:rPr>
          <w:rFonts w:ascii="Consolas" w:hAnsi="Consolas" w:cs="Courier New"/>
          <w:color w:val="666600"/>
          <w:sz w:val="17"/>
          <w:szCs w:val="17"/>
          <w:lang w:val="en-IE"/>
        </w:rPr>
        <w:t>,</w:t>
      </w:r>
      <w:r>
        <w:rPr>
          <w:rFonts w:ascii="Consolas" w:hAnsi="Consolas" w:cs="Courier New"/>
          <w:color w:val="006666"/>
          <w:sz w:val="17"/>
          <w:szCs w:val="17"/>
          <w:lang w:val="en-IE"/>
        </w:rPr>
        <w:t>000</w:t>
      </w:r>
      <w:r>
        <w:rPr>
          <w:lang w:val="en-IE"/>
        </w:rPr>
        <w:t xml:space="preserve"> for ultrafast bootstraps with UFBoot2</w:t>
      </w:r>
      <w:r>
        <w:fldChar w:fldCharType="begin"/>
      </w:r>
      <w:r>
        <w:rPr>
          <w:lang w:val="en-IE"/>
        </w:rPr>
        <w:instrText>ADDIN ZOTERO_ITEM CSL_CITATION {"citationID":"IkCplNLy","properties":{"formattedCitation":"\\super 11\\nosupersub{}","plainCitation":"11","noteIndex":0},"citationItems":[{"id":48,"uris":["http://zotero.org/users/14304502/items/E7JJS793"],"itemData":{"id":48,"type":"article-journal","abstract":"The standard bootstrap (SBS), despite being computationally intensive, is widely used in maximum likelihood phylogenetic analyses. We recently proposed the ultrafast bootstrap approximation (UFBoot) to reduce computing time while achieving more unbiased branch supports than SBS under mild model violations. UFBoot has been steadily adopted as an efficient alternative to SBS and other bootstrap approaches. Here, we present UFBoot2, which substantially accelerates UFBoot and reduces the risk of overestimating branch supports due to polytomies or severe model violations. Additionally, UFBoot2 provides suitable bootstrap resampling strategies for phylogenomic data. UFBoot2 is 778 times (median) faster than SBS and 8.4 times (median) faster than RAxML rapid bootstrap on tested data sets. UFBoot2 is implemented in the IQ-TREE software package version 1.6 and freely available at http://www.iqtree.org.","container-title":"Molecular Biology and Evolution","DOI":"10.1093/molbev/msx281","ISSN":"1537-1719","issue":"2","journalAbbreviation":"Mol Biol Evol","language":"eng","note":"PMID: 29077904\nPMCID: PMC5850222","page":"518-522","source":"PubMed","title":"UFBoot2: Improving the Ultrafast Bootstrap Approximation","title-short":"UFBoot2","volume":"35","author":[{"family":"Hoang","given":"Diep Thi"},{"family":"Chernomor","given":"Olga"},{"family":"Haeseler","given":"Arndt","non-dropping-particle":"von"},{"family":"Minh","given":"Bui Quang"},{"family":"Vinh","given":"Le Sy"}],"issued":{"date-parts":[["2018",2,1]]}}}],"schema":"https://github.com/citation-style-language/schema/raw/master/csl-citation.json"}</w:instrText>
      </w:r>
      <w:r>
        <w:rPr>
          <w:lang w:val="en-IE"/>
        </w:rPr>
        <w:fldChar w:fldCharType="separate"/>
      </w:r>
      <w:r>
        <w:rPr>
          <w:rFonts w:ascii="Aptos" w:hAnsi="Aptos"/>
          <w:vertAlign w:val="superscript"/>
          <w:lang w:val="en-IE"/>
        </w:rPr>
        <w:t>11</w:t>
      </w:r>
      <w:r>
        <w:rPr>
          <w:lang w:val="en-IE"/>
        </w:rPr>
        <w:fldChar w:fldCharType="end"/>
      </w:r>
      <w:r>
        <w:rPr>
          <w:lang w:val="en-IE"/>
        </w:rPr>
        <w:t xml:space="preserve"> and</w:t>
      </w:r>
      <w:r>
        <w:rPr>
          <w:rFonts w:ascii="Consolas" w:hAnsi="Consolas" w:cs="Courier New"/>
          <w:color w:val="000000"/>
          <w:sz w:val="17"/>
          <w:szCs w:val="17"/>
          <w:lang w:val="en-IE"/>
        </w:rPr>
        <w:t xml:space="preserve"> </w:t>
      </w:r>
      <w:r>
        <w:rPr>
          <w:rFonts w:ascii="Consolas" w:hAnsi="Consolas" w:cs="Courier New"/>
          <w:color w:val="666600"/>
          <w:sz w:val="17"/>
          <w:szCs w:val="17"/>
          <w:lang w:val="en-IE"/>
        </w:rPr>
        <w:t>-</w:t>
      </w:r>
      <w:proofErr w:type="spellStart"/>
      <w:r>
        <w:rPr>
          <w:rFonts w:ascii="Consolas" w:hAnsi="Consolas" w:cs="Courier New"/>
          <w:color w:val="000000"/>
          <w:sz w:val="17"/>
          <w:szCs w:val="17"/>
          <w:lang w:val="en-IE"/>
        </w:rPr>
        <w:t>alrt</w:t>
      </w:r>
      <w:proofErr w:type="spellEnd"/>
      <w:r>
        <w:rPr>
          <w:rFonts w:ascii="Consolas" w:hAnsi="Consolas" w:cs="Courier New"/>
          <w:color w:val="000000"/>
          <w:sz w:val="17"/>
          <w:szCs w:val="17"/>
          <w:lang w:val="en-IE"/>
        </w:rPr>
        <w:t xml:space="preserve"> </w:t>
      </w:r>
      <w:r>
        <w:rPr>
          <w:rFonts w:ascii="Consolas" w:hAnsi="Consolas" w:cs="Courier New"/>
          <w:color w:val="006666"/>
          <w:sz w:val="17"/>
          <w:szCs w:val="17"/>
          <w:lang w:val="en-IE"/>
        </w:rPr>
        <w:t>1</w:t>
      </w:r>
      <w:r>
        <w:rPr>
          <w:rFonts w:ascii="Consolas" w:hAnsi="Consolas" w:cs="Courier New"/>
          <w:color w:val="666600"/>
          <w:sz w:val="17"/>
          <w:szCs w:val="17"/>
          <w:lang w:val="en-IE"/>
        </w:rPr>
        <w:t>,</w:t>
      </w:r>
      <w:r>
        <w:rPr>
          <w:rFonts w:ascii="Consolas" w:hAnsi="Consolas" w:cs="Courier New"/>
          <w:color w:val="006666"/>
          <w:sz w:val="17"/>
          <w:szCs w:val="17"/>
          <w:lang w:val="en-IE"/>
        </w:rPr>
        <w:t>000</w:t>
      </w:r>
      <w:r>
        <w:rPr>
          <w:rFonts w:ascii="Consolas" w:hAnsi="Consolas" w:cs="Courier New"/>
          <w:sz w:val="17"/>
          <w:szCs w:val="17"/>
          <w:lang w:val="en-IE"/>
        </w:rPr>
        <w:t xml:space="preserve"> </w:t>
      </w:r>
      <w:r>
        <w:rPr>
          <w:lang w:val="en-IE"/>
        </w:rPr>
        <w:t xml:space="preserve"> for SH-aLRT</w:t>
      </w:r>
      <w:r>
        <w:fldChar w:fldCharType="begin"/>
      </w:r>
      <w:r>
        <w:rPr>
          <w:lang w:val="en-IE"/>
        </w:rPr>
        <w:instrText>ADDIN ZOTERO_ITEM CSL_CITATION {"citationID":"bxcd0Dga","properties":{"formattedCitation":"\\super 12\\nosupersub{}","plainCitation":"12","noteIndex":0},"citationItems":[{"id":162,"uris":["http://zotero.org/users/14304502/items/CRZZKR2P"],"itemData":{"id":162,"type":"article-journal","abstract":"Phylogenetic inference and evaluating support for inferred relationships is at the core of many studies testing evolutionary hypotheses. Despite the popularity of nonparametric bootstrap frequencies and Bayesian posterior probabilities, the interpretation of these measures of tree branch support remains a source of discussion. Furthermore, both methods are computationally expensive and become prohibitive for large data sets. Recent fast approximate likelihood-based measures of branch supports (approximate likelihood ratio test [aLRT] and Shimodaira–Hasegawa [SH]-aLRT) provide a compelling alternative to these slower conventional methods, offering not only speed advantages but also excellent levels of accuracy and power. Here we propose an additional method: a Bayesian-like transformation of aLRT (aBayes). Considering both probabilistic and frequentist frameworks, we compare the performance of the three fast likelihood-based methods with the standard bootstrap (SBS), the Bayesian approach, and the recently introduced rapid bootstrap. Our simulations and real data analyses show that with moderate model violations, all tests are sufficiently accurate, but aLRT and aBayes offer the highest statistical power and are very fast. With severe model violations aLRT, aBayes and Bayesian posteriors can produce elevated false-positive rates. With data sets for which such violation can be detected, we recommend using SH-aLRT, the nonparametric version of aLRT based on a procedure similar to the Shimodaira–Hasegawa tree selection. In general, the SBS seems to be excessively conservative and is much slower than our approximate likelihood-based methods.","container-title":"Systematic Biology","DOI":"10.1093/sysbio/syr041","ISSN":"1063-5157","issue":"5","journalAbbreviation":"Syst Biol","note":"PMID: 21540409\nPMCID: PMC3158332","page":"685-699","source":"PubMed Central","title":"Survey of Branch Support Methods Demonstrates Accuracy, Power, and Robustness of Fast Likelihood-based Approximation Schemes","volume":"60","author":[{"family":"Anisimova","given":"Maria"},{"family":"Gil","given":"Manuel"},{"family":"Dufayard","given":"Jean-François"},{"family":"Dessimoz","given":"Christophe"},{"family":"Gascuel","given":"Olivier"}],"issued":{"date-parts":[["2011",10]]}}}],"schema":"https://github.com/citation-style-language/schema/raw/master/csl-citation.json"}</w:instrText>
      </w:r>
      <w:r>
        <w:rPr>
          <w:lang w:val="en-IE"/>
        </w:rPr>
        <w:fldChar w:fldCharType="separate"/>
      </w:r>
      <w:r>
        <w:rPr>
          <w:rFonts w:ascii="Aptos" w:hAnsi="Aptos"/>
          <w:vertAlign w:val="superscript"/>
          <w:lang w:val="en-IE"/>
        </w:rPr>
        <w:t>12</w:t>
      </w:r>
      <w:r>
        <w:rPr>
          <w:lang w:val="en-IE"/>
        </w:rPr>
        <w:fldChar w:fldCharType="end"/>
      </w:r>
      <w:r>
        <w:rPr>
          <w:lang w:val="en-IE"/>
        </w:rPr>
        <w:t>.  The best evolutionary model was selected with ModelFinder</w:t>
      </w:r>
      <w:r>
        <w:fldChar w:fldCharType="begin"/>
      </w:r>
      <w:r>
        <w:rPr>
          <w:lang w:val="en-IE"/>
        </w:rPr>
        <w:instrText>ADDIN ZOTERO_ITEM CSL_CITATION {"citationID":"wqLf5CVd","properties":{"formattedCitation":"\\super 13\\nosupersub{}","plainCitation":"13","noteIndex":0},"citationItems":[{"id":165,"uris":["http://zotero.org/users/14304502/items/WBRULDGM"],"itemData":{"id":165,"type":"article-journal","abstract":"ModelFinder is a fast model-selection method that greatly improves the accuracy of phylogenetic estimates.","container-title":"Nature Methods","DOI":"10.1038/nmeth.4285","ISSN":"1548-7105","issue":"6","journalAbbreviation":"Nat Methods","language":"en","license":"2017 Springer Nature America, Inc.","note":"publisher: Nature Publishing Group","page":"587-589","source":"www.nature.com","title":"ModelFinder: fast model selection for accurate phylogenetic estimates","title-short":"ModelFinder","volume":"14","author":[{"family":"Kalyaanamoorthy","given":"Subha"},{"family":"Minh","given":"Bui Quang"},{"family":"Wong","given":"Thomas K. F."},{"family":"Haeseler","given":"Arndt","non-dropping-particle":"von"},{"family":"Jermiin","given":"Lars S."}],"issued":{"date-parts":[["2017",6]]}}}],"schema":"https://github.com/citation-style-language/schema/raw/master/csl-citation.json"}</w:instrText>
      </w:r>
      <w:r>
        <w:rPr>
          <w:lang w:val="en-IE"/>
        </w:rPr>
        <w:fldChar w:fldCharType="separate"/>
      </w:r>
      <w:r>
        <w:rPr>
          <w:rFonts w:ascii="Aptos" w:hAnsi="Aptos"/>
          <w:vertAlign w:val="superscript"/>
          <w:lang w:val="en-IE"/>
        </w:rPr>
        <w:t>13</w:t>
      </w:r>
      <w:r>
        <w:rPr>
          <w:lang w:val="en-IE"/>
        </w:rPr>
        <w:fldChar w:fldCharType="end"/>
      </w:r>
      <w:r>
        <w:rPr>
          <w:lang w:val="en-IE"/>
        </w:rPr>
        <w:t xml:space="preserve">. The tree was rooted on the outgroups. All branches with at least 95% bootstrapping are </w:t>
      </w:r>
      <w:proofErr w:type="spellStart"/>
      <w:r>
        <w:rPr>
          <w:lang w:val="en-IE"/>
        </w:rPr>
        <w:t>colored</w:t>
      </w:r>
      <w:proofErr w:type="spellEnd"/>
      <w:r>
        <w:rPr>
          <w:lang w:val="en-IE"/>
        </w:rPr>
        <w:t xml:space="preserve"> green, the classified and proposed families are shown in the inner coloured ring, and the proposed and classified orders in the outer coloured ring. </w:t>
      </w:r>
    </w:p>
    <w:p w14:paraId="54F13CFC" w14:textId="77777777" w:rsidR="00EE11BD" w:rsidRDefault="00F70457">
      <w:pPr>
        <w:keepNext/>
        <w:rPr>
          <w:lang w:val="en-IE"/>
        </w:rPr>
      </w:pPr>
      <w:r>
        <w:rPr>
          <w:noProof/>
        </w:rPr>
        <w:lastRenderedPageBreak/>
        <w:drawing>
          <wp:inline distT="0" distB="0" distL="0" distR="0" wp14:anchorId="7F613769" wp14:editId="4F97ABE2">
            <wp:extent cx="5926455" cy="4743450"/>
            <wp:effectExtent l="0" t="0" r="0" b="0"/>
            <wp:docPr id="9" name="Picture 1" descr="A close-up of a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close-up of a grid&#10;&#10;AI-generated content may be incorrect."/>
                    <pic:cNvPicPr>
                      <a:picLocks noChangeAspect="1" noChangeArrowheads="1"/>
                    </pic:cNvPicPr>
                  </pic:nvPicPr>
                  <pic:blipFill>
                    <a:blip r:embed="rId18"/>
                    <a:stretch>
                      <a:fillRect/>
                    </a:stretch>
                  </pic:blipFill>
                  <pic:spPr bwMode="auto">
                    <a:xfrm>
                      <a:off x="0" y="0"/>
                      <a:ext cx="5926455" cy="4743450"/>
                    </a:xfrm>
                    <a:prstGeom prst="rect">
                      <a:avLst/>
                    </a:prstGeom>
                  </pic:spPr>
                </pic:pic>
              </a:graphicData>
            </a:graphic>
          </wp:inline>
        </w:drawing>
      </w:r>
    </w:p>
    <w:p w14:paraId="5665113C" w14:textId="77777777" w:rsidR="00435C2A" w:rsidRDefault="00435C2A" w:rsidP="00435C2A">
      <w:pPr>
        <w:rPr>
          <w:lang w:val="en-IE"/>
        </w:rPr>
      </w:pPr>
    </w:p>
    <w:p w14:paraId="45BD8196" w14:textId="16B5CB1B" w:rsidR="00EE11BD" w:rsidRDefault="00F70457" w:rsidP="00435C2A">
      <w:pPr>
        <w:rPr>
          <w:lang w:val="en-IE"/>
        </w:rPr>
      </w:pPr>
      <w:r w:rsidRPr="00435C2A">
        <w:rPr>
          <w:b/>
          <w:bCs/>
          <w:lang w:val="en-IE"/>
        </w:rPr>
        <w:t xml:space="preserve">Figure </w:t>
      </w:r>
      <w:r w:rsidRPr="00435C2A">
        <w:rPr>
          <w:b/>
          <w:bCs/>
          <w:lang w:val="en-IE"/>
        </w:rPr>
        <w:fldChar w:fldCharType="begin"/>
      </w:r>
      <w:r w:rsidRPr="00435C2A">
        <w:rPr>
          <w:b/>
          <w:bCs/>
          <w:lang w:val="en-IE"/>
        </w:rPr>
        <w:instrText xml:space="preserve"> SEQ Figure \* ARABIC </w:instrText>
      </w:r>
      <w:r w:rsidRPr="00435C2A">
        <w:rPr>
          <w:b/>
          <w:bCs/>
          <w:lang w:val="en-IE"/>
        </w:rPr>
        <w:fldChar w:fldCharType="separate"/>
      </w:r>
      <w:r w:rsidRPr="00435C2A">
        <w:rPr>
          <w:b/>
          <w:bCs/>
          <w:lang w:val="en-IE"/>
        </w:rPr>
        <w:t>8</w:t>
      </w:r>
      <w:r w:rsidRPr="00435C2A">
        <w:rPr>
          <w:b/>
          <w:bCs/>
          <w:lang w:val="en-IE"/>
        </w:rPr>
        <w:fldChar w:fldCharType="end"/>
      </w:r>
      <w:r w:rsidRPr="00435C2A">
        <w:rPr>
          <w:b/>
          <w:bCs/>
          <w:lang w:val="en-IE"/>
        </w:rPr>
        <w:t>:</w:t>
      </w:r>
      <w:r w:rsidR="00435C2A">
        <w:rPr>
          <w:lang w:val="en-IE"/>
        </w:rPr>
        <w:t xml:space="preserve"> </w:t>
      </w:r>
      <w:r>
        <w:rPr>
          <w:lang w:val="en-IE"/>
        </w:rPr>
        <w:t xml:space="preserve">Heatmap of the total average nucleotide identity between families of the </w:t>
      </w:r>
      <w:proofErr w:type="spellStart"/>
      <w:r>
        <w:rPr>
          <w:i/>
          <w:iCs/>
          <w:lang w:val="en-IE"/>
        </w:rPr>
        <w:t>Crassvirales</w:t>
      </w:r>
      <w:proofErr w:type="spellEnd"/>
      <w:r>
        <w:rPr>
          <w:lang w:val="en-IE"/>
        </w:rPr>
        <w:t xml:space="preserve">, </w:t>
      </w:r>
      <w:proofErr w:type="spellStart"/>
      <w:r>
        <w:rPr>
          <w:i/>
          <w:iCs/>
          <w:lang w:val="en-IE"/>
        </w:rPr>
        <w:t>Paracrassvirales</w:t>
      </w:r>
      <w:proofErr w:type="spellEnd"/>
      <w:r>
        <w:rPr>
          <w:lang w:val="en-IE"/>
        </w:rPr>
        <w:t xml:space="preserve"> and </w:t>
      </w:r>
      <w:proofErr w:type="spellStart"/>
      <w:r>
        <w:rPr>
          <w:i/>
          <w:iCs/>
          <w:lang w:val="en-IE"/>
        </w:rPr>
        <w:t>Metacrassvirales</w:t>
      </w:r>
      <w:proofErr w:type="spellEnd"/>
      <w:r>
        <w:rPr>
          <w:lang w:val="en-IE"/>
        </w:rPr>
        <w:t xml:space="preserve">. Values above 10% are set to 10%, as including higher values reduces visual granularity and obscures key patterns. The heatmap was visualized using </w:t>
      </w:r>
      <w:proofErr w:type="spellStart"/>
      <w:r>
        <w:rPr>
          <w:lang w:val="en-IE"/>
        </w:rPr>
        <w:t>Tidyheatmaps</w:t>
      </w:r>
      <w:proofErr w:type="spellEnd"/>
      <w:r>
        <w:rPr>
          <w:lang w:val="en-IE"/>
        </w:rPr>
        <w:t xml:space="preserve"> and hierarchically clustered using the complete linkage method of R. Coloured bars indicate the family of each genome.</w:t>
      </w:r>
    </w:p>
    <w:p w14:paraId="210EFD4A" w14:textId="77777777" w:rsidR="00EE11BD" w:rsidRDefault="00F70457">
      <w:pPr>
        <w:keepNext/>
        <w:rPr>
          <w:lang w:val="en-IE"/>
        </w:rPr>
      </w:pPr>
      <w:r>
        <w:rPr>
          <w:noProof/>
        </w:rPr>
        <w:lastRenderedPageBreak/>
        <w:drawing>
          <wp:inline distT="0" distB="0" distL="0" distR="0" wp14:anchorId="08A9D6F2" wp14:editId="76A7AD38">
            <wp:extent cx="5926455" cy="4740910"/>
            <wp:effectExtent l="0" t="0" r="0" b="0"/>
            <wp:docPr id="10" name="Image2"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A screen shot of a computer screen&#10;&#10;AI-generated content may be incorrect."/>
                    <pic:cNvPicPr>
                      <a:picLocks noChangeAspect="1" noChangeArrowheads="1"/>
                    </pic:cNvPicPr>
                  </pic:nvPicPr>
                  <pic:blipFill>
                    <a:blip r:embed="rId19"/>
                    <a:stretch>
                      <a:fillRect/>
                    </a:stretch>
                  </pic:blipFill>
                  <pic:spPr bwMode="auto">
                    <a:xfrm>
                      <a:off x="0" y="0"/>
                      <a:ext cx="5926455" cy="4740910"/>
                    </a:xfrm>
                    <a:prstGeom prst="rect">
                      <a:avLst/>
                    </a:prstGeom>
                  </pic:spPr>
                </pic:pic>
              </a:graphicData>
            </a:graphic>
          </wp:inline>
        </w:drawing>
      </w:r>
    </w:p>
    <w:p w14:paraId="55B706EA" w14:textId="77777777" w:rsidR="00435C2A" w:rsidRDefault="00435C2A" w:rsidP="00435C2A">
      <w:pPr>
        <w:rPr>
          <w:lang w:val="en-IE"/>
        </w:rPr>
      </w:pPr>
    </w:p>
    <w:p w14:paraId="5717D407" w14:textId="7E531E1C" w:rsidR="00EE11BD" w:rsidRDefault="00F70457" w:rsidP="00435C2A">
      <w:pPr>
        <w:rPr>
          <w:lang w:val="en-IE"/>
        </w:rPr>
      </w:pPr>
      <w:r w:rsidRPr="00435C2A">
        <w:rPr>
          <w:b/>
          <w:bCs/>
          <w:lang w:val="en-IE"/>
        </w:rPr>
        <w:t xml:space="preserve">Figure </w:t>
      </w:r>
      <w:r w:rsidRPr="00435C2A">
        <w:rPr>
          <w:b/>
          <w:bCs/>
          <w:i/>
          <w:iCs/>
          <w:lang w:val="en-IE"/>
        </w:rPr>
        <w:fldChar w:fldCharType="begin"/>
      </w:r>
      <w:r w:rsidRPr="00435C2A">
        <w:rPr>
          <w:b/>
          <w:bCs/>
          <w:lang w:val="en-IE"/>
        </w:rPr>
        <w:instrText xml:space="preserve"> SEQ Figure \* ARABIC </w:instrText>
      </w:r>
      <w:r w:rsidRPr="00435C2A">
        <w:rPr>
          <w:b/>
          <w:bCs/>
          <w:i/>
          <w:iCs/>
          <w:lang w:val="en-IE"/>
        </w:rPr>
        <w:fldChar w:fldCharType="separate"/>
      </w:r>
      <w:r w:rsidRPr="00435C2A">
        <w:rPr>
          <w:b/>
          <w:bCs/>
          <w:lang w:val="en-IE"/>
        </w:rPr>
        <w:t>9</w:t>
      </w:r>
      <w:r w:rsidRPr="00435C2A">
        <w:rPr>
          <w:b/>
          <w:bCs/>
          <w:i/>
          <w:iCs/>
          <w:lang w:val="en-IE"/>
        </w:rPr>
        <w:fldChar w:fldCharType="end"/>
      </w:r>
      <w:r w:rsidRPr="00435C2A">
        <w:rPr>
          <w:b/>
          <w:bCs/>
          <w:lang w:val="en-IE"/>
        </w:rPr>
        <w:t xml:space="preserve">: </w:t>
      </w:r>
      <w:r>
        <w:rPr>
          <w:lang w:val="en-IE"/>
        </w:rPr>
        <w:t xml:space="preserve">Heatmap of the shared protein cluster percentage between families of the </w:t>
      </w:r>
      <w:proofErr w:type="spellStart"/>
      <w:r w:rsidRPr="00435C2A">
        <w:rPr>
          <w:i/>
          <w:iCs/>
          <w:lang w:val="en-IE"/>
        </w:rPr>
        <w:t>Crassvirales</w:t>
      </w:r>
      <w:proofErr w:type="spellEnd"/>
      <w:r>
        <w:rPr>
          <w:lang w:val="en-IE"/>
        </w:rPr>
        <w:t xml:space="preserve">, </w:t>
      </w:r>
      <w:proofErr w:type="spellStart"/>
      <w:r w:rsidRPr="00435C2A">
        <w:rPr>
          <w:i/>
          <w:iCs/>
          <w:lang w:val="en-IE"/>
        </w:rPr>
        <w:t>Paracrassvirales</w:t>
      </w:r>
      <w:proofErr w:type="spellEnd"/>
      <w:r>
        <w:rPr>
          <w:lang w:val="en-IE"/>
        </w:rPr>
        <w:t xml:space="preserve"> and </w:t>
      </w:r>
      <w:proofErr w:type="spellStart"/>
      <w:r w:rsidRPr="00435C2A">
        <w:rPr>
          <w:i/>
          <w:iCs/>
          <w:lang w:val="en-IE"/>
        </w:rPr>
        <w:t>Metacrassvirales</w:t>
      </w:r>
      <w:proofErr w:type="spellEnd"/>
      <w:r>
        <w:rPr>
          <w:lang w:val="en-IE"/>
        </w:rPr>
        <w:t xml:space="preserve">. Values above 40% are set to 40%, as including higher values reduces visual granularity and obscures key patterns. </w:t>
      </w:r>
    </w:p>
    <w:p w14:paraId="246BA470" w14:textId="77777777" w:rsidR="00EE11BD" w:rsidRDefault="00F70457">
      <w:pPr>
        <w:pStyle w:val="Caption"/>
        <w:rPr>
          <w:i w:val="0"/>
          <w:iCs w:val="0"/>
          <w:lang w:val="en-IE"/>
        </w:rPr>
      </w:pPr>
      <w:r>
        <w:rPr>
          <w:noProof/>
        </w:rPr>
        <w:lastRenderedPageBreak/>
        <w:drawing>
          <wp:inline distT="0" distB="0" distL="0" distR="0" wp14:anchorId="19AD3D19" wp14:editId="260DB662">
            <wp:extent cx="5926455" cy="4740910"/>
            <wp:effectExtent l="0" t="0" r="0" b="0"/>
            <wp:docPr id="11" name="Image3" descr="A screen 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A screen shot of a computer generated image&#10;&#10;AI-generated content may be incorrect."/>
                    <pic:cNvPicPr>
                      <a:picLocks noChangeAspect="1" noChangeArrowheads="1"/>
                    </pic:cNvPicPr>
                  </pic:nvPicPr>
                  <pic:blipFill>
                    <a:blip r:embed="rId20"/>
                    <a:stretch>
                      <a:fillRect/>
                    </a:stretch>
                  </pic:blipFill>
                  <pic:spPr bwMode="auto">
                    <a:xfrm>
                      <a:off x="0" y="0"/>
                      <a:ext cx="5926455" cy="4740910"/>
                    </a:xfrm>
                    <a:prstGeom prst="rect">
                      <a:avLst/>
                    </a:prstGeom>
                  </pic:spPr>
                </pic:pic>
              </a:graphicData>
            </a:graphic>
          </wp:inline>
        </w:drawing>
      </w:r>
    </w:p>
    <w:p w14:paraId="0124EF78" w14:textId="77777777" w:rsidR="00435C2A" w:rsidRDefault="00435C2A" w:rsidP="00435C2A"/>
    <w:p w14:paraId="509034CD" w14:textId="53DB14B2" w:rsidR="00EE11BD" w:rsidRPr="00435C2A" w:rsidRDefault="00F70457" w:rsidP="00435C2A">
      <w:r w:rsidRPr="00435C2A">
        <w:rPr>
          <w:b/>
          <w:bCs/>
        </w:rPr>
        <w:t>Figure 10:</w:t>
      </w:r>
      <w:r w:rsidR="00435C2A">
        <w:t xml:space="preserve"> </w:t>
      </w:r>
      <w:r w:rsidRPr="00435C2A">
        <w:t xml:space="preserve">Heatmap of the total average nucleotide identity between families of the </w:t>
      </w:r>
      <w:proofErr w:type="spellStart"/>
      <w:r w:rsidRPr="00435C2A">
        <w:rPr>
          <w:i/>
          <w:iCs/>
        </w:rPr>
        <w:t>Crassvirales</w:t>
      </w:r>
      <w:proofErr w:type="spellEnd"/>
      <w:r w:rsidRPr="00435C2A">
        <w:t xml:space="preserve">, </w:t>
      </w:r>
      <w:proofErr w:type="spellStart"/>
      <w:r w:rsidRPr="00435C2A">
        <w:rPr>
          <w:i/>
          <w:iCs/>
        </w:rPr>
        <w:t>Paracrassvirales</w:t>
      </w:r>
      <w:proofErr w:type="spellEnd"/>
      <w:r w:rsidRPr="00435C2A">
        <w:t xml:space="preserve"> and </w:t>
      </w:r>
      <w:proofErr w:type="spellStart"/>
      <w:r w:rsidRPr="00435C2A">
        <w:rPr>
          <w:i/>
          <w:iCs/>
        </w:rPr>
        <w:t>Metacrassvirales</w:t>
      </w:r>
      <w:proofErr w:type="spellEnd"/>
      <w:r w:rsidRPr="00435C2A">
        <w:t xml:space="preserve">. Values above 10% are set to 10%, as including higher values reduces visual granularity and obscures key patterns. Sequences for which a public and annotated INSDC entry is available are highlighted. </w:t>
      </w:r>
    </w:p>
    <w:p w14:paraId="47468DB0" w14:textId="77777777" w:rsidR="00EE11BD" w:rsidRDefault="00F70457">
      <w:pPr>
        <w:pStyle w:val="Caption"/>
        <w:rPr>
          <w:i w:val="0"/>
          <w:iCs w:val="0"/>
          <w:lang w:val="en-IE"/>
        </w:rPr>
      </w:pPr>
      <w:r>
        <w:rPr>
          <w:noProof/>
        </w:rPr>
        <w:lastRenderedPageBreak/>
        <w:drawing>
          <wp:inline distT="0" distB="0" distL="0" distR="0" wp14:anchorId="771AA052" wp14:editId="53855802">
            <wp:extent cx="5926455" cy="4740910"/>
            <wp:effectExtent l="0" t="0" r="0" b="0"/>
            <wp:docPr id="12" name="Image4"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 descr="A screen shot of a computer screen&#10;&#10;AI-generated content may be incorrect."/>
                    <pic:cNvPicPr>
                      <a:picLocks noChangeAspect="1" noChangeArrowheads="1"/>
                    </pic:cNvPicPr>
                  </pic:nvPicPr>
                  <pic:blipFill>
                    <a:blip r:embed="rId21"/>
                    <a:stretch>
                      <a:fillRect/>
                    </a:stretch>
                  </pic:blipFill>
                  <pic:spPr bwMode="auto">
                    <a:xfrm>
                      <a:off x="0" y="0"/>
                      <a:ext cx="5926455" cy="4740910"/>
                    </a:xfrm>
                    <a:prstGeom prst="rect">
                      <a:avLst/>
                    </a:prstGeom>
                  </pic:spPr>
                </pic:pic>
              </a:graphicData>
            </a:graphic>
          </wp:inline>
        </w:drawing>
      </w:r>
    </w:p>
    <w:p w14:paraId="7FD27080" w14:textId="77777777" w:rsidR="00435C2A" w:rsidRDefault="00435C2A" w:rsidP="00435C2A">
      <w:pPr>
        <w:rPr>
          <w:lang w:val="en-IE"/>
        </w:rPr>
      </w:pPr>
    </w:p>
    <w:p w14:paraId="78B68462" w14:textId="01038A04" w:rsidR="00EE11BD" w:rsidRDefault="00F70457" w:rsidP="00435C2A">
      <w:pPr>
        <w:rPr>
          <w:lang w:val="en-IE"/>
        </w:rPr>
      </w:pPr>
      <w:r w:rsidRPr="00435C2A">
        <w:rPr>
          <w:b/>
          <w:bCs/>
          <w:lang w:val="en-IE"/>
        </w:rPr>
        <w:t xml:space="preserve">Figure 11: </w:t>
      </w:r>
      <w:r>
        <w:rPr>
          <w:lang w:val="en-IE"/>
        </w:rPr>
        <w:t xml:space="preserve">Heatmap of the shared protein cluster percentage between families of the </w:t>
      </w:r>
      <w:proofErr w:type="spellStart"/>
      <w:r w:rsidRPr="00435C2A">
        <w:rPr>
          <w:i/>
          <w:iCs/>
          <w:lang w:val="en-IE"/>
        </w:rPr>
        <w:t>Crassvirales</w:t>
      </w:r>
      <w:proofErr w:type="spellEnd"/>
      <w:r>
        <w:rPr>
          <w:lang w:val="en-IE"/>
        </w:rPr>
        <w:t xml:space="preserve">, </w:t>
      </w:r>
      <w:proofErr w:type="spellStart"/>
      <w:r w:rsidRPr="00435C2A">
        <w:rPr>
          <w:i/>
          <w:iCs/>
          <w:lang w:val="en-IE"/>
        </w:rPr>
        <w:t>Paracrassvirales</w:t>
      </w:r>
      <w:proofErr w:type="spellEnd"/>
      <w:r>
        <w:rPr>
          <w:lang w:val="en-IE"/>
        </w:rPr>
        <w:t xml:space="preserve"> and </w:t>
      </w:r>
      <w:proofErr w:type="spellStart"/>
      <w:r w:rsidRPr="00435C2A">
        <w:rPr>
          <w:i/>
          <w:iCs/>
          <w:lang w:val="en-IE"/>
        </w:rPr>
        <w:t>Metacrassvirales</w:t>
      </w:r>
      <w:proofErr w:type="spellEnd"/>
      <w:r>
        <w:rPr>
          <w:lang w:val="en-IE"/>
        </w:rPr>
        <w:t xml:space="preserve">. Values above 40% are set to 40%, as including higher values reduces visual granularity and obscures key patterns. Sequences for which a public and annotated INSDC entry is available are highlighted. </w:t>
      </w:r>
    </w:p>
    <w:p w14:paraId="050530A2" w14:textId="77777777" w:rsidR="00435C2A" w:rsidRDefault="00F70457" w:rsidP="00435C2A">
      <w:pPr>
        <w:rPr>
          <w:lang w:val="en-IE"/>
        </w:rPr>
      </w:pPr>
      <w:r>
        <w:rPr>
          <w:noProof/>
        </w:rPr>
        <w:lastRenderedPageBreak/>
        <w:drawing>
          <wp:inline distT="0" distB="0" distL="0" distR="0" wp14:anchorId="3D8E260F" wp14:editId="1156E56B">
            <wp:extent cx="5923280" cy="4278630"/>
            <wp:effectExtent l="0" t="0" r="0" b="0"/>
            <wp:docPr id="13"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
                    <pic:cNvPicPr>
                      <a:picLocks noChangeAspect="1" noChangeArrowheads="1"/>
                    </pic:cNvPicPr>
                  </pic:nvPicPr>
                  <pic:blipFill>
                    <a:blip r:embed="rId22"/>
                    <a:stretch>
                      <a:fillRect/>
                    </a:stretch>
                  </pic:blipFill>
                  <pic:spPr bwMode="auto">
                    <a:xfrm>
                      <a:off x="0" y="0"/>
                      <a:ext cx="5923280" cy="4278630"/>
                    </a:xfrm>
                    <a:prstGeom prst="rect">
                      <a:avLst/>
                    </a:prstGeom>
                  </pic:spPr>
                </pic:pic>
              </a:graphicData>
            </a:graphic>
          </wp:inline>
        </w:drawing>
      </w:r>
    </w:p>
    <w:p w14:paraId="08A89B64" w14:textId="77777777" w:rsidR="00435C2A" w:rsidRPr="00435C2A" w:rsidRDefault="00435C2A" w:rsidP="00435C2A">
      <w:pPr>
        <w:rPr>
          <w:b/>
          <w:bCs/>
          <w:lang w:val="en-IE"/>
        </w:rPr>
      </w:pPr>
    </w:p>
    <w:p w14:paraId="0D018F94" w14:textId="3327605D" w:rsidR="00EE11BD" w:rsidRDefault="00F70457" w:rsidP="00435C2A">
      <w:pPr>
        <w:rPr>
          <w:i/>
          <w:iCs/>
          <w:lang w:val="en-IE"/>
        </w:rPr>
      </w:pPr>
      <w:r w:rsidRPr="00435C2A">
        <w:rPr>
          <w:b/>
          <w:bCs/>
          <w:lang w:val="en-IE"/>
        </w:rPr>
        <w:t>Figure 12:</w:t>
      </w:r>
      <w:r>
        <w:rPr>
          <w:lang w:val="en-IE"/>
        </w:rPr>
        <w:t xml:space="preserve"> Core-gene phylogenetic tree of the three orders based on concatenated </w:t>
      </w:r>
      <w:proofErr w:type="spellStart"/>
      <w:proofErr w:type="gramStart"/>
      <w:r>
        <w:rPr>
          <w:lang w:val="en-IE"/>
        </w:rPr>
        <w:t>proteins.The</w:t>
      </w:r>
      <w:proofErr w:type="spellEnd"/>
      <w:proofErr w:type="gramEnd"/>
      <w:r>
        <w:rPr>
          <w:lang w:val="en-IE"/>
        </w:rPr>
        <w:t xml:space="preserve"> inner circle represents order, the middle circle represents </w:t>
      </w:r>
      <w:proofErr w:type="gramStart"/>
      <w:r>
        <w:rPr>
          <w:lang w:val="en-IE"/>
        </w:rPr>
        <w:t>family</w:t>
      </w:r>
      <w:proofErr w:type="gramEnd"/>
      <w:r>
        <w:rPr>
          <w:lang w:val="en-IE"/>
        </w:rPr>
        <w:t xml:space="preserve"> and the outer circle represents subfamily. Sequences for which a public and annotated INSDC entry is available are highlighted. </w:t>
      </w:r>
    </w:p>
    <w:p w14:paraId="0FEDCA81" w14:textId="77777777" w:rsidR="00EE11BD" w:rsidRDefault="00F70457">
      <w:pPr>
        <w:pStyle w:val="Caption"/>
        <w:rPr>
          <w:i w:val="0"/>
          <w:iCs w:val="0"/>
          <w:lang w:val="en-IE"/>
        </w:rPr>
      </w:pPr>
      <w:r>
        <w:rPr>
          <w:noProof/>
        </w:rPr>
        <w:lastRenderedPageBreak/>
        <w:drawing>
          <wp:inline distT="0" distB="0" distL="0" distR="0" wp14:anchorId="4DABF6CA" wp14:editId="592770B5">
            <wp:extent cx="5923280" cy="450405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23"/>
                    <a:stretch>
                      <a:fillRect/>
                    </a:stretch>
                  </pic:blipFill>
                  <pic:spPr bwMode="auto">
                    <a:xfrm>
                      <a:off x="0" y="0"/>
                      <a:ext cx="5923280" cy="4504055"/>
                    </a:xfrm>
                    <a:prstGeom prst="rect">
                      <a:avLst/>
                    </a:prstGeom>
                  </pic:spPr>
                </pic:pic>
              </a:graphicData>
            </a:graphic>
          </wp:inline>
        </w:drawing>
      </w:r>
    </w:p>
    <w:p w14:paraId="7D9A4445" w14:textId="77777777" w:rsidR="00435C2A" w:rsidRDefault="00435C2A" w:rsidP="00435C2A">
      <w:pPr>
        <w:rPr>
          <w:lang w:val="en-IE"/>
        </w:rPr>
      </w:pPr>
    </w:p>
    <w:p w14:paraId="307E7102" w14:textId="67D6658E" w:rsidR="00EE11BD" w:rsidRDefault="00F70457" w:rsidP="00435C2A">
      <w:pPr>
        <w:rPr>
          <w:lang w:val="en-IE"/>
        </w:rPr>
      </w:pPr>
      <w:r w:rsidRPr="00435C2A">
        <w:rPr>
          <w:b/>
          <w:bCs/>
          <w:lang w:val="en-IE"/>
        </w:rPr>
        <w:t>Figure 13:</w:t>
      </w:r>
      <w:r>
        <w:rPr>
          <w:lang w:val="en-IE"/>
        </w:rPr>
        <w:t xml:space="preserve"> Core-gene structural phylogenetic species tree of the three orders based on gene trees. The inner circle represents order, the middle circle represents family and the outer circle represents subfamily. Sequences for which a public and annotated INSDC entry is available are highlighted. </w:t>
      </w:r>
    </w:p>
    <w:p w14:paraId="1DFC1674" w14:textId="77777777" w:rsidR="00EE11BD" w:rsidRDefault="00F70457">
      <w:pPr>
        <w:pStyle w:val="NormalWeb"/>
        <w:keepNext/>
        <w:spacing w:before="280" w:after="280"/>
      </w:pPr>
      <w:r>
        <w:rPr>
          <w:noProof/>
        </w:rPr>
        <w:lastRenderedPageBreak/>
        <w:drawing>
          <wp:inline distT="0" distB="0" distL="0" distR="0" wp14:anchorId="591BBAFA" wp14:editId="17E0DFE4">
            <wp:extent cx="4600575" cy="4200525"/>
            <wp:effectExtent l="0" t="0" r="0" b="0"/>
            <wp:docPr id="15" name="Image6" descr="A colorful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 descr="A colorful circles on a black background&#10;&#10;AI-generated content may be incorrect."/>
                    <pic:cNvPicPr>
                      <a:picLocks noChangeAspect="1" noChangeArrowheads="1"/>
                    </pic:cNvPicPr>
                  </pic:nvPicPr>
                  <pic:blipFill>
                    <a:blip r:embed="rId24"/>
                    <a:srcRect t="8693"/>
                    <a:stretch>
                      <a:fillRect/>
                    </a:stretch>
                  </pic:blipFill>
                  <pic:spPr bwMode="auto">
                    <a:xfrm>
                      <a:off x="0" y="0"/>
                      <a:ext cx="4600575" cy="4200525"/>
                    </a:xfrm>
                    <a:prstGeom prst="rect">
                      <a:avLst/>
                    </a:prstGeom>
                  </pic:spPr>
                </pic:pic>
              </a:graphicData>
            </a:graphic>
          </wp:inline>
        </w:drawing>
      </w:r>
    </w:p>
    <w:p w14:paraId="6AF6297E" w14:textId="223A0534" w:rsidR="00EE11BD" w:rsidRDefault="00F70457" w:rsidP="00435C2A">
      <w:pPr>
        <w:rPr>
          <w:lang w:val="en-IE"/>
        </w:rPr>
      </w:pPr>
      <w:r w:rsidRPr="00435C2A">
        <w:rPr>
          <w:b/>
          <w:bCs/>
          <w:lang w:val="en-IE"/>
        </w:rPr>
        <w:t xml:space="preserve">Figure 14: </w:t>
      </w:r>
      <w:r>
        <w:rPr>
          <w:lang w:val="en-IE"/>
        </w:rPr>
        <w:t xml:space="preserve">A circularly packed hierarchy tree of all currently possible subfamily classifications. Each circle represents a possible classification, and all circles contained within it are subsets of that classification that can classify as their own subfamily. The fill of each circle shows the minimum percentage of shared genes within the cluster. The clusters were created using </w:t>
      </w:r>
      <w:proofErr w:type="spellStart"/>
      <w:r>
        <w:rPr>
          <w:lang w:val="en-IE"/>
        </w:rPr>
        <w:t>Vclust</w:t>
      </w:r>
      <w:proofErr w:type="spellEnd"/>
      <w:r>
        <w:rPr>
          <w:lang w:val="en-IE"/>
        </w:rPr>
        <w:t xml:space="preserve"> and visualized using </w:t>
      </w:r>
      <w:proofErr w:type="spellStart"/>
      <w:r>
        <w:rPr>
          <w:lang w:val="en-IE"/>
        </w:rPr>
        <w:t>ggraph</w:t>
      </w:r>
      <w:proofErr w:type="spellEnd"/>
      <w:r w:rsidR="00435C2A">
        <w:rPr>
          <w:lang w:val="en-IE"/>
        </w:rPr>
        <w:t>.</w:t>
      </w:r>
    </w:p>
    <w:p w14:paraId="00A2C050" w14:textId="77777777" w:rsidR="00EE11BD" w:rsidRDefault="00F70457">
      <w:pPr>
        <w:pStyle w:val="Caption"/>
        <w:keepNext/>
        <w:rPr>
          <w:highlight w:val="yellow"/>
          <w:lang w:val="en-IE"/>
        </w:rPr>
      </w:pPr>
      <w:r>
        <w:rPr>
          <w:noProof/>
        </w:rPr>
        <w:lastRenderedPageBreak/>
        <w:drawing>
          <wp:inline distT="0" distB="0" distL="0" distR="0" wp14:anchorId="28F9E3DA" wp14:editId="15A6FA9D">
            <wp:extent cx="5926455" cy="5926455"/>
            <wp:effectExtent l="0" t="0" r="0" b="0"/>
            <wp:docPr id="16" name="Image7" descr="A diagram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 descr="A diagram of a family&#10;&#10;AI-generated content may be incorrect."/>
                    <pic:cNvPicPr>
                      <a:picLocks noChangeAspect="1" noChangeArrowheads="1"/>
                    </pic:cNvPicPr>
                  </pic:nvPicPr>
                  <pic:blipFill>
                    <a:blip r:embed="rId25"/>
                    <a:stretch>
                      <a:fillRect/>
                    </a:stretch>
                  </pic:blipFill>
                  <pic:spPr bwMode="auto">
                    <a:xfrm>
                      <a:off x="0" y="0"/>
                      <a:ext cx="5926455" cy="5926455"/>
                    </a:xfrm>
                    <a:prstGeom prst="rect">
                      <a:avLst/>
                    </a:prstGeom>
                  </pic:spPr>
                </pic:pic>
              </a:graphicData>
            </a:graphic>
          </wp:inline>
        </w:drawing>
      </w:r>
    </w:p>
    <w:p w14:paraId="7EB86226" w14:textId="77777777" w:rsidR="00EE11BD" w:rsidRDefault="00F70457" w:rsidP="00435C2A">
      <w:pPr>
        <w:rPr>
          <w:lang w:val="en-IE"/>
        </w:rPr>
      </w:pPr>
      <w:r w:rsidRPr="00435C2A">
        <w:rPr>
          <w:b/>
          <w:bCs/>
          <w:lang w:val="en-IE"/>
        </w:rPr>
        <w:t>Figure 15:</w:t>
      </w:r>
      <w:r>
        <w:rPr>
          <w:lang w:val="en-IE"/>
        </w:rPr>
        <w:t xml:space="preserve"> A hierarchical tree showing the distribution of clusters within each family of </w:t>
      </w:r>
      <w:proofErr w:type="spellStart"/>
      <w:r w:rsidRPr="00435C2A">
        <w:rPr>
          <w:i/>
          <w:iCs/>
          <w:lang w:val="en-IE"/>
        </w:rPr>
        <w:t>Crassvirales</w:t>
      </w:r>
      <w:proofErr w:type="spellEnd"/>
      <w:r>
        <w:rPr>
          <w:lang w:val="en-IE"/>
        </w:rPr>
        <w:t>. Each branch represents a cluster at that percentage of shared proteins, with all branches after the red striped line (27%) representing a subfamily that could be proposed to the ICTV following the current demarcations. Branches are coloured if only members of that family are within it. Names are placed on nodes if only members of that subfamily are within that node and all its branches, and names with an asterisk (*) represent at which node a subfamily should be placed to contain all its currently known members.</w:t>
      </w:r>
    </w:p>
    <w:p w14:paraId="1101552E" w14:textId="77777777" w:rsidR="00435C2A" w:rsidRDefault="00F70457" w:rsidP="00435C2A">
      <w:r>
        <w:rPr>
          <w:noProof/>
        </w:rPr>
        <w:lastRenderedPageBreak/>
        <w:drawing>
          <wp:inline distT="0" distB="0" distL="0" distR="0" wp14:anchorId="41E91966" wp14:editId="26803905">
            <wp:extent cx="5923280" cy="4504055"/>
            <wp:effectExtent l="0" t="0" r="0" b="0"/>
            <wp:docPr id="17" name="Image8"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 descr="A screenshot of a computer screen&#10;&#10;AI-generated content may be incorrect."/>
                    <pic:cNvPicPr>
                      <a:picLocks noChangeAspect="1" noChangeArrowheads="1"/>
                    </pic:cNvPicPr>
                  </pic:nvPicPr>
                  <pic:blipFill>
                    <a:blip r:embed="rId26"/>
                    <a:stretch>
                      <a:fillRect/>
                    </a:stretch>
                  </pic:blipFill>
                  <pic:spPr bwMode="auto">
                    <a:xfrm>
                      <a:off x="0" y="0"/>
                      <a:ext cx="5923280" cy="4504055"/>
                    </a:xfrm>
                    <a:prstGeom prst="rect">
                      <a:avLst/>
                    </a:prstGeom>
                  </pic:spPr>
                </pic:pic>
              </a:graphicData>
            </a:graphic>
          </wp:inline>
        </w:drawing>
      </w:r>
    </w:p>
    <w:p w14:paraId="1F5054EA" w14:textId="77777777" w:rsidR="00435C2A" w:rsidRDefault="00435C2A" w:rsidP="00435C2A">
      <w:pPr>
        <w:rPr>
          <w:b/>
          <w:bCs/>
        </w:rPr>
      </w:pPr>
    </w:p>
    <w:p w14:paraId="029A48A4" w14:textId="77E8213F" w:rsidR="00EE11BD" w:rsidRDefault="00F70457" w:rsidP="00435C2A">
      <w:pPr>
        <w:rPr>
          <w:lang w:val="en-IE"/>
        </w:rPr>
      </w:pPr>
      <w:r w:rsidRPr="00435C2A">
        <w:rPr>
          <w:b/>
          <w:bCs/>
        </w:rPr>
        <w:t>Figure 16</w:t>
      </w:r>
      <w:r w:rsidRPr="00435C2A">
        <w:rPr>
          <w:b/>
          <w:bCs/>
          <w:lang w:val="en-IE"/>
        </w:rPr>
        <w:t>:</w:t>
      </w:r>
      <w:r>
        <w:rPr>
          <w:lang w:val="en-IE"/>
        </w:rPr>
        <w:t xml:space="preserve"> Core-gene phylogenetic species tree based on concatenated protein tree of the three orders, the </w:t>
      </w:r>
      <w:proofErr w:type="gramStart"/>
      <w:r>
        <w:rPr>
          <w:lang w:val="en-IE"/>
        </w:rPr>
        <w:t>inner coloured</w:t>
      </w:r>
      <w:proofErr w:type="gramEnd"/>
      <w:r>
        <w:rPr>
          <w:lang w:val="en-IE"/>
        </w:rPr>
        <w:t xml:space="preserve"> ring showing family and the </w:t>
      </w:r>
      <w:proofErr w:type="gramStart"/>
      <w:r>
        <w:rPr>
          <w:lang w:val="en-IE"/>
        </w:rPr>
        <w:t>outer coloured</w:t>
      </w:r>
      <w:proofErr w:type="gramEnd"/>
      <w:r>
        <w:rPr>
          <w:lang w:val="en-IE"/>
        </w:rPr>
        <w:t xml:space="preserve"> ring showing subfamily. Clades coloured in red do not correspond to phylogeny.</w:t>
      </w:r>
    </w:p>
    <w:p w14:paraId="73E16BC1" w14:textId="77777777" w:rsidR="00EE11BD" w:rsidRDefault="00F70457">
      <w:pPr>
        <w:pStyle w:val="NormalWeb"/>
        <w:keepNext/>
        <w:spacing w:before="280" w:after="280"/>
      </w:pPr>
      <w:r>
        <w:rPr>
          <w:noProof/>
        </w:rPr>
        <w:lastRenderedPageBreak/>
        <w:drawing>
          <wp:inline distT="0" distB="0" distL="0" distR="0" wp14:anchorId="20183BED" wp14:editId="5CBFB508">
            <wp:extent cx="5916295" cy="3752850"/>
            <wp:effectExtent l="0" t="0" r="0" b="0"/>
            <wp:docPr id="18" name="Image9" descr="A colorful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 descr="A colorful circle with a black background&#10;&#10;AI-generated content may be incorrect."/>
                    <pic:cNvPicPr>
                      <a:picLocks noChangeAspect="1" noChangeArrowheads="1"/>
                    </pic:cNvPicPr>
                  </pic:nvPicPr>
                  <pic:blipFill>
                    <a:blip r:embed="rId27"/>
                    <a:stretch>
                      <a:fillRect/>
                    </a:stretch>
                  </pic:blipFill>
                  <pic:spPr bwMode="auto">
                    <a:xfrm>
                      <a:off x="0" y="0"/>
                      <a:ext cx="5916295" cy="3752850"/>
                    </a:xfrm>
                    <a:prstGeom prst="rect">
                      <a:avLst/>
                    </a:prstGeom>
                  </pic:spPr>
                </pic:pic>
              </a:graphicData>
            </a:graphic>
          </wp:inline>
        </w:drawing>
      </w:r>
    </w:p>
    <w:p w14:paraId="4A995895" w14:textId="77777777" w:rsidR="00435C2A" w:rsidRDefault="00435C2A" w:rsidP="00435C2A"/>
    <w:p w14:paraId="29EFC374" w14:textId="1B669CC8" w:rsidR="00EE11BD" w:rsidRDefault="00F70457" w:rsidP="00435C2A">
      <w:pPr>
        <w:rPr>
          <w:lang w:val="en-IE"/>
        </w:rPr>
      </w:pPr>
      <w:r w:rsidRPr="00435C2A">
        <w:rPr>
          <w:b/>
          <w:bCs/>
        </w:rPr>
        <w:t>Figure 17:</w:t>
      </w:r>
      <w:r>
        <w:t xml:space="preserve"> </w:t>
      </w:r>
      <w:r>
        <w:rPr>
          <w:lang w:val="en-IE"/>
        </w:rPr>
        <w:t xml:space="preserve">Core-gene structural phylogenetic species tree of the </w:t>
      </w:r>
      <w:proofErr w:type="spellStart"/>
      <w:r w:rsidRPr="00435C2A">
        <w:rPr>
          <w:i/>
          <w:iCs/>
          <w:lang w:val="en-IE"/>
        </w:rPr>
        <w:t>Suoliviridae</w:t>
      </w:r>
      <w:proofErr w:type="spellEnd"/>
      <w:r>
        <w:rPr>
          <w:lang w:val="en-IE"/>
        </w:rPr>
        <w:t xml:space="preserve">, the </w:t>
      </w:r>
      <w:proofErr w:type="gramStart"/>
      <w:r>
        <w:rPr>
          <w:lang w:val="en-IE"/>
        </w:rPr>
        <w:t>inner coloured</w:t>
      </w:r>
      <w:proofErr w:type="gramEnd"/>
      <w:r>
        <w:rPr>
          <w:lang w:val="en-IE"/>
        </w:rPr>
        <w:t xml:space="preserve"> ring showing family and the </w:t>
      </w:r>
      <w:proofErr w:type="gramStart"/>
      <w:r>
        <w:rPr>
          <w:lang w:val="en-IE"/>
        </w:rPr>
        <w:t>outer coloured</w:t>
      </w:r>
      <w:proofErr w:type="gramEnd"/>
      <w:r>
        <w:rPr>
          <w:lang w:val="en-IE"/>
        </w:rPr>
        <w:t xml:space="preserve"> ring showing subfamily. Clades coloured in red are not coherent with phylogeny. Branch lengths have been removed for readability. </w:t>
      </w:r>
    </w:p>
    <w:sectPr w:rsidR="00EE11BD">
      <w:headerReference w:type="default" r:id="rId28"/>
      <w:footerReference w:type="default" r:id="rId2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4EEA" w14:textId="77777777" w:rsidR="009D4B72" w:rsidRDefault="009D4B72">
      <w:r>
        <w:separator/>
      </w:r>
    </w:p>
  </w:endnote>
  <w:endnote w:type="continuationSeparator" w:id="0">
    <w:p w14:paraId="60A95018" w14:textId="77777777" w:rsidR="009D4B72" w:rsidRDefault="009D4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853351"/>
      <w:docPartObj>
        <w:docPartGallery w:val="Page Numbers (Bottom of Page)"/>
        <w:docPartUnique/>
      </w:docPartObj>
    </w:sdtPr>
    <w:sdtContent>
      <w:p w14:paraId="00E1712A" w14:textId="77777777" w:rsidR="00EE11BD" w:rsidRDefault="00F70457">
        <w:pPr>
          <w:pStyle w:val="Footer"/>
          <w:pBdr>
            <w:top w:val="single" w:sz="4" w:space="1" w:color="D9D9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23</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63BF00F1" w14:textId="77777777" w:rsidR="00EE11BD" w:rsidRDefault="00EE1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213C8" w14:textId="77777777" w:rsidR="009D4B72" w:rsidRDefault="009D4B72">
      <w:r>
        <w:separator/>
      </w:r>
    </w:p>
  </w:footnote>
  <w:footnote w:type="continuationSeparator" w:id="0">
    <w:p w14:paraId="01F60EB3" w14:textId="77777777" w:rsidR="009D4B72" w:rsidRDefault="009D4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4696" w14:textId="77777777" w:rsidR="00EE11BD" w:rsidRDefault="00F70457">
    <w:pPr>
      <w:pStyle w:val="Header"/>
      <w:jc w:val="right"/>
      <w:rPr>
        <w:i/>
        <w:sz w:val="18"/>
        <w:szCs w:val="18"/>
      </w:rPr>
    </w:pPr>
    <w:r>
      <w:rPr>
        <w:noProof/>
      </w:rPr>
      <w:drawing>
        <wp:anchor distT="0" distB="0" distL="114300" distR="114300" simplePos="0" relativeHeight="41" behindDoc="1" locked="0" layoutInCell="0" allowOverlap="1" wp14:anchorId="2CD2054A" wp14:editId="1021AB52">
          <wp:simplePos x="0" y="0"/>
          <wp:positionH relativeFrom="margin">
            <wp:posOffset>243205</wp:posOffset>
          </wp:positionH>
          <wp:positionV relativeFrom="paragraph">
            <wp:posOffset>-106045</wp:posOffset>
          </wp:positionV>
          <wp:extent cx="560705" cy="344170"/>
          <wp:effectExtent l="0" t="0" r="0" b="0"/>
          <wp:wrapSquare wrapText="bothSides"/>
          <wp:docPr id="1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627"/>
    <w:multiLevelType w:val="multilevel"/>
    <w:tmpl w:val="F9D4FE6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A66CC1"/>
    <w:multiLevelType w:val="multilevel"/>
    <w:tmpl w:val="DA6AD8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C2A3695"/>
    <w:multiLevelType w:val="multilevel"/>
    <w:tmpl w:val="86120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3B728F4"/>
    <w:multiLevelType w:val="multilevel"/>
    <w:tmpl w:val="C63096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60920865">
    <w:abstractNumId w:val="2"/>
  </w:num>
  <w:num w:numId="2" w16cid:durableId="116727826">
    <w:abstractNumId w:val="1"/>
  </w:num>
  <w:num w:numId="3" w16cid:durableId="114299123">
    <w:abstractNumId w:val="0"/>
  </w:num>
  <w:num w:numId="4" w16cid:durableId="1707411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1BD"/>
    <w:rsid w:val="000027BC"/>
    <w:rsid w:val="00030659"/>
    <w:rsid w:val="000364EB"/>
    <w:rsid w:val="001F0552"/>
    <w:rsid w:val="002837B7"/>
    <w:rsid w:val="002F2DCF"/>
    <w:rsid w:val="00323E7D"/>
    <w:rsid w:val="003F3735"/>
    <w:rsid w:val="00435C2A"/>
    <w:rsid w:val="004D4384"/>
    <w:rsid w:val="00723005"/>
    <w:rsid w:val="00731C46"/>
    <w:rsid w:val="00782EAE"/>
    <w:rsid w:val="00814827"/>
    <w:rsid w:val="00944391"/>
    <w:rsid w:val="009D4B72"/>
    <w:rsid w:val="00A21584"/>
    <w:rsid w:val="00A50213"/>
    <w:rsid w:val="00D74A2E"/>
    <w:rsid w:val="00EC7B4D"/>
    <w:rsid w:val="00EE11BD"/>
    <w:rsid w:val="00F70457"/>
    <w:rsid w:val="00FC64C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D809"/>
  <w15:docId w15:val="{9014B64C-8AED-4181-BCD0-C140D11A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3E7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styleId="Bibliography">
    <w:name w:val="Bibliography"/>
    <w:basedOn w:val="Normal"/>
    <w:next w:val="Normal"/>
    <w:uiPriority w:val="37"/>
    <w:unhideWhenUsed/>
    <w:qFormat/>
    <w:rsid w:val="00130AE6"/>
    <w:pPr>
      <w:tabs>
        <w:tab w:val="left" w:pos="264"/>
      </w:tabs>
      <w:spacing w:line="480" w:lineRule="auto"/>
      <w:ind w:left="264" w:hanging="264"/>
    </w:pPr>
  </w:style>
  <w:style w:type="paragraph" w:styleId="NormalWeb">
    <w:name w:val="Normal (Web)"/>
    <w:basedOn w:val="Normal"/>
    <w:uiPriority w:val="99"/>
    <w:semiHidden/>
    <w:unhideWhenUsed/>
    <w:qFormat/>
    <w:rsid w:val="005D2079"/>
    <w:pPr>
      <w:spacing w:beforeAutospacing="1" w:afterAutospacing="1"/>
    </w:pPr>
    <w:rPr>
      <w:lang w:val="en-IE" w:eastAsia="en-IE"/>
    </w:rPr>
  </w:style>
  <w:style w:type="paragraph" w:customStyle="1" w:styleId="FrameContents">
    <w:name w:val="Frame Contents"/>
    <w:basedOn w:val="Normal"/>
    <w:qFormat/>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hyperlink" Target="https://ictv.global/taxonomy/templates"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23</Pages>
  <Words>7844</Words>
  <Characters>46129</Characters>
  <Application>Microsoft Office Word</Application>
  <DocSecurity>0</DocSecurity>
  <Lines>1317</Lines>
  <Paragraphs>574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4</cp:revision>
  <dcterms:created xsi:type="dcterms:W3CDTF">2026-01-21T13:16:00Z</dcterms:created>
  <dcterms:modified xsi:type="dcterms:W3CDTF">2026-03-11T11:43:00Z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af32e46ea627efe65e46cfde21456217373204fc71530966352fc8ab4ff305bc</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y fmtid="{D5CDD505-2E9C-101B-9397-08002B2CF9AE}" pid="7" name="ZOTERO_PREF_1">
    <vt:lpwstr>&lt;data data-version="3" zotero-version="6.0.36"&gt;&lt;session id="oJ1tDKso"/&gt;&lt;style id="http://www.zotero.org/styles/nature" hasBibliography="1" bibliographyStyleHasBeenSet="1"/&gt;&lt;prefs&gt;&lt;pref name="fieldType" value="Field"/&gt;&lt;pref name="automaticJournalAbbreviati</vt:lpwstr>
  </property>
  <property fmtid="{D5CDD505-2E9C-101B-9397-08002B2CF9AE}" pid="8" name="ZOTERO_PREF_2">
    <vt:lpwstr>ons" value="true"/&gt;&lt;/prefs&gt;&lt;/data&gt;</vt:lpwstr>
  </property>
</Properties>
</file>