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3446062" w:rsidR="00A174CC" w:rsidRDefault="006070D8">
            <w:pPr>
              <w:pStyle w:val="BodyTextIndent"/>
              <w:ind w:left="0" w:firstLine="0"/>
              <w:jc w:val="center"/>
              <w:rPr>
                <w:rFonts w:ascii="Arial" w:hAnsi="Arial" w:cs="Arial"/>
                <w:b/>
                <w:bCs/>
                <w:i/>
                <w:sz w:val="28"/>
                <w:szCs w:val="28"/>
              </w:rPr>
            </w:pPr>
            <w:r>
              <w:rPr>
                <w:rFonts w:ascii="Arial" w:hAnsi="Arial" w:cs="Arial"/>
                <w:b/>
                <w:bCs/>
                <w:i/>
                <w:sz w:val="28"/>
                <w:szCs w:val="28"/>
              </w:rPr>
              <w:t>2023.069B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5523182" w:rsidR="00A174CC" w:rsidRPr="00C3404C" w:rsidRDefault="008815EE">
            <w:pPr>
              <w:spacing w:before="120"/>
              <w:rPr>
                <w:rFonts w:ascii="Arial" w:hAnsi="Arial" w:cs="Arial"/>
                <w:bCs/>
              </w:rPr>
            </w:pPr>
            <w:r w:rsidRPr="0001767F">
              <w:rPr>
                <w:rFonts w:ascii="Arial" w:hAnsi="Arial" w:cs="Arial"/>
                <w:bCs/>
              </w:rPr>
              <w:t xml:space="preserve">Short title: </w:t>
            </w:r>
            <w:r w:rsidR="008618EC" w:rsidRPr="0001767F">
              <w:rPr>
                <w:rFonts w:ascii="Arial" w:hAnsi="Arial" w:cs="Arial"/>
                <w:bCs/>
              </w:rPr>
              <w:t xml:space="preserve">Create a new family called </w:t>
            </w:r>
            <w:proofErr w:type="spellStart"/>
            <w:r w:rsidR="00EA1E5A">
              <w:rPr>
                <w:rFonts w:ascii="Arial" w:hAnsi="Arial" w:cs="Arial"/>
                <w:bCs/>
                <w:i/>
                <w:iCs/>
              </w:rPr>
              <w:t>Toyama</w:t>
            </w:r>
            <w:r w:rsidR="008618EC" w:rsidRPr="0001767F">
              <w:rPr>
                <w:rFonts w:ascii="Arial" w:hAnsi="Arial" w:cs="Arial"/>
                <w:bCs/>
                <w:i/>
                <w:iCs/>
              </w:rPr>
              <w:t>viridae</w:t>
            </w:r>
            <w:proofErr w:type="spellEnd"/>
            <w:r w:rsidR="008618EC" w:rsidRPr="0001767F">
              <w:rPr>
                <w:rFonts w:ascii="Arial" w:hAnsi="Arial" w:cs="Arial"/>
                <w:bCs/>
              </w:rPr>
              <w:t xml:space="preserve"> </w:t>
            </w:r>
            <w:r w:rsidR="0001767F" w:rsidRPr="0001767F">
              <w:rPr>
                <w:rFonts w:ascii="Arial" w:hAnsi="Arial" w:cs="Arial"/>
                <w:bCs/>
              </w:rPr>
              <w:t xml:space="preserve">including </w:t>
            </w:r>
            <w:r w:rsidR="00566F87">
              <w:rPr>
                <w:rFonts w:ascii="Arial" w:hAnsi="Arial" w:cs="Arial"/>
                <w:bCs/>
              </w:rPr>
              <w:t>three</w:t>
            </w:r>
            <w:r w:rsidR="0001767F" w:rsidRPr="0001767F">
              <w:rPr>
                <w:rFonts w:ascii="Arial" w:hAnsi="Arial" w:cs="Arial"/>
                <w:bCs/>
              </w:rPr>
              <w:t xml:space="preserve"> new genera and </w:t>
            </w:r>
            <w:r w:rsidR="00566F87">
              <w:rPr>
                <w:rFonts w:ascii="Arial" w:hAnsi="Arial" w:cs="Arial"/>
                <w:bCs/>
              </w:rPr>
              <w:t>three</w:t>
            </w:r>
            <w:r w:rsidR="0001767F" w:rsidRPr="0001767F">
              <w:rPr>
                <w:rFonts w:ascii="Arial" w:hAnsi="Arial" w:cs="Arial"/>
                <w:bCs/>
              </w:rPr>
              <w:t xml:space="preserve"> new species</w:t>
            </w:r>
            <w:r w:rsidR="00C3404C">
              <w:rPr>
                <w:rFonts w:ascii="Arial" w:hAnsi="Arial" w:cs="Arial"/>
                <w:bCs/>
              </w:rPr>
              <w:t xml:space="preserve"> (</w:t>
            </w:r>
            <w:proofErr w:type="spellStart"/>
            <w:r w:rsidR="00C3404C">
              <w:rPr>
                <w:rFonts w:ascii="Arial" w:hAnsi="Arial" w:cs="Arial"/>
                <w:bCs/>
                <w:i/>
                <w:iCs/>
              </w:rPr>
              <w:t>Caudoviricetes</w:t>
            </w:r>
            <w:proofErr w:type="spellEnd"/>
            <w:r w:rsidR="00C3404C">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0C12FB" w14:paraId="6B26D9B1" w14:textId="77777777" w:rsidTr="001F3F31">
        <w:tc>
          <w:tcPr>
            <w:tcW w:w="4368" w:type="dxa"/>
            <w:shd w:val="clear" w:color="auto" w:fill="auto"/>
          </w:tcPr>
          <w:p w14:paraId="08C19E12" w14:textId="6467CE8D" w:rsidR="000C12FB" w:rsidRDefault="000C12FB" w:rsidP="008618EC">
            <w:pPr>
              <w:rPr>
                <w:rFonts w:ascii="Arial" w:hAnsi="Arial" w:cs="Arial"/>
                <w:sz w:val="22"/>
                <w:szCs w:val="22"/>
              </w:rPr>
            </w:pPr>
            <w:r>
              <w:rPr>
                <w:rFonts w:ascii="Arial" w:hAnsi="Arial" w:cs="Arial"/>
                <w:sz w:val="22"/>
                <w:szCs w:val="22"/>
              </w:rPr>
              <w:t>Nishijima</w:t>
            </w:r>
            <w:r w:rsidR="00EF5C86">
              <w:rPr>
                <w:rFonts w:ascii="Arial" w:hAnsi="Arial" w:cs="Arial"/>
                <w:sz w:val="22"/>
                <w:szCs w:val="22"/>
              </w:rPr>
              <w:t xml:space="preserve"> S</w:t>
            </w:r>
            <w:r>
              <w:rPr>
                <w:rFonts w:ascii="Arial" w:hAnsi="Arial" w:cs="Arial"/>
                <w:sz w:val="22"/>
                <w:szCs w:val="22"/>
              </w:rPr>
              <w:t xml:space="preserve">, Nagata </w:t>
            </w:r>
            <w:r w:rsidR="00EF5C86">
              <w:rPr>
                <w:rFonts w:ascii="Arial" w:hAnsi="Arial" w:cs="Arial"/>
                <w:sz w:val="22"/>
                <w:szCs w:val="22"/>
              </w:rPr>
              <w:t>N</w:t>
            </w:r>
          </w:p>
          <w:p w14:paraId="06D9D768" w14:textId="77777777" w:rsidR="000C12FB" w:rsidRDefault="000C12FB">
            <w:pPr>
              <w:rPr>
                <w:rFonts w:ascii="Arial" w:hAnsi="Arial" w:cs="Arial"/>
                <w:sz w:val="22"/>
                <w:szCs w:val="22"/>
              </w:rPr>
            </w:pPr>
          </w:p>
          <w:p w14:paraId="1719DF85" w14:textId="2A228128" w:rsidR="000C12FB" w:rsidRDefault="000C12FB"/>
        </w:tc>
        <w:tc>
          <w:tcPr>
            <w:tcW w:w="4704" w:type="dxa"/>
            <w:shd w:val="clear" w:color="auto" w:fill="auto"/>
          </w:tcPr>
          <w:p w14:paraId="473F8F65" w14:textId="65E4BAEC" w:rsidR="000C12FB" w:rsidRDefault="008B67DE" w:rsidP="008618EC">
            <w:pPr>
              <w:rPr>
                <w:rFonts w:ascii="Arial" w:hAnsi="Arial" w:cs="Arial"/>
                <w:sz w:val="22"/>
                <w:szCs w:val="22"/>
              </w:rPr>
            </w:pPr>
            <w:hyperlink r:id="rId8" w:history="1">
              <w:r w:rsidR="000C12FB" w:rsidRPr="00FC0341">
                <w:rPr>
                  <w:rStyle w:val="Hyperlink"/>
                  <w:rFonts w:ascii="Arial" w:hAnsi="Arial" w:cs="Arial"/>
                  <w:sz w:val="22"/>
                  <w:szCs w:val="22"/>
                </w:rPr>
                <w:t>nishijima.suguru@gmail.com</w:t>
              </w:r>
            </w:hyperlink>
            <w:r w:rsidR="00EF5C86">
              <w:t xml:space="preserve">; </w:t>
            </w:r>
            <w:hyperlink r:id="rId9" w:history="1">
              <w:r w:rsidR="000C12FB" w:rsidRPr="00FC0341">
                <w:rPr>
                  <w:rStyle w:val="Hyperlink"/>
                  <w:rFonts w:ascii="Arial" w:hAnsi="Arial" w:cs="Arial"/>
                  <w:sz w:val="22"/>
                  <w:szCs w:val="22"/>
                </w:rPr>
                <w:t>nnagata_ncgm@yahoo.co.jp</w:t>
              </w:r>
            </w:hyperlink>
          </w:p>
          <w:p w14:paraId="56A09FFF" w14:textId="6E297377" w:rsidR="000C12FB" w:rsidRDefault="000C12FB"/>
        </w:tc>
      </w:tr>
    </w:tbl>
    <w:p w14:paraId="66BE9775" w14:textId="11FFF63E" w:rsidR="00A174CC" w:rsidRPr="00507033"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4F8118C1" w14:textId="77777777" w:rsidR="008618EC" w:rsidRDefault="008618EC" w:rsidP="008618EC">
            <w:pPr>
              <w:rPr>
                <w:rFonts w:ascii="Arial" w:hAnsi="Arial" w:cs="Arial"/>
                <w:sz w:val="22"/>
                <w:szCs w:val="22"/>
              </w:rPr>
            </w:pPr>
            <w:proofErr w:type="spellStart"/>
            <w:r>
              <w:rPr>
                <w:rFonts w:ascii="Arial" w:hAnsi="Arial" w:cs="Arial"/>
                <w:sz w:val="22"/>
                <w:szCs w:val="22"/>
              </w:rPr>
              <w:t>Waseda</w:t>
            </w:r>
            <w:proofErr w:type="spellEnd"/>
            <w:r>
              <w:rPr>
                <w:rFonts w:ascii="Arial" w:hAnsi="Arial" w:cs="Arial"/>
                <w:sz w:val="22"/>
                <w:szCs w:val="22"/>
              </w:rPr>
              <w:t xml:space="preserve"> University, Japan [SN]</w:t>
            </w:r>
          </w:p>
          <w:p w14:paraId="1033F5C1" w14:textId="5DB2A96A" w:rsidR="00A174CC" w:rsidRDefault="008618EC">
            <w:pPr>
              <w:rPr>
                <w:rFonts w:ascii="Arial" w:hAnsi="Arial" w:cs="Arial"/>
                <w:sz w:val="22"/>
                <w:szCs w:val="22"/>
              </w:rPr>
            </w:pPr>
            <w:r>
              <w:rPr>
                <w:rFonts w:ascii="Arial" w:hAnsi="Arial" w:cs="Arial"/>
                <w:sz w:val="22"/>
                <w:szCs w:val="22"/>
              </w:rPr>
              <w:t>Tokyo Medical University, Japan [NN]</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33FF950" w:rsidR="00437970" w:rsidRDefault="008618EC">
            <w:pPr>
              <w:rPr>
                <w:rFonts w:ascii="Arial" w:hAnsi="Arial" w:cs="Arial"/>
                <w:sz w:val="22"/>
                <w:szCs w:val="22"/>
              </w:rPr>
            </w:pPr>
            <w:r>
              <w:rPr>
                <w:rFonts w:ascii="Arial" w:hAnsi="Arial" w:cs="Arial"/>
                <w:sz w:val="22"/>
                <w:szCs w:val="22"/>
              </w:rPr>
              <w:t>Nishijima</w:t>
            </w:r>
            <w:r w:rsidR="00EF5C86">
              <w:rPr>
                <w:rFonts w:ascii="Arial" w:hAnsi="Arial" w:cs="Arial"/>
                <w:sz w:val="22"/>
                <w:szCs w:val="22"/>
              </w:rPr>
              <w:t>, S</w:t>
            </w:r>
          </w:p>
        </w:tc>
      </w:tr>
    </w:tbl>
    <w:p w14:paraId="3A50F9C2" w14:textId="2A1A271E" w:rsidR="00437970" w:rsidRPr="000C12FB" w:rsidRDefault="008815EE" w:rsidP="000C12FB">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4EB39900" w:rsidR="00A174CC" w:rsidRDefault="00EF5C86">
            <w:pPr>
              <w:rPr>
                <w:rFonts w:ascii="Arial" w:hAnsi="Arial" w:cs="Arial"/>
                <w:sz w:val="22"/>
                <w:szCs w:val="22"/>
              </w:rPr>
            </w:pPr>
            <w:proofErr w:type="spellStart"/>
            <w:r w:rsidRPr="00EF5C86">
              <w:rPr>
                <w:rFonts w:ascii="Arial" w:hAnsi="Arial" w:cs="Arial"/>
                <w:i/>
                <w:iCs/>
                <w:sz w:val="22"/>
                <w:szCs w:val="22"/>
              </w:rPr>
              <w:t>Caudoviricetes</w:t>
            </w:r>
            <w:proofErr w:type="spellEnd"/>
            <w:r>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485B7B0C" w:rsidR="00A174CC" w:rsidRPr="000C12FB" w:rsidRDefault="008815EE" w:rsidP="000C12FB">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788C4A55" w:rsidR="0037243A" w:rsidRPr="000C12FB" w:rsidRDefault="0037243A" w:rsidP="000C12FB">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84AE3F" w:rsidR="00A174CC" w:rsidRPr="000A146A" w:rsidRDefault="00EF5C8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ADBFB5C" w:rsidR="00A174CC" w:rsidRDefault="00620977">
            <w:pPr>
              <w:rPr>
                <w:rFonts w:ascii="Arial" w:hAnsi="Arial" w:cs="Arial"/>
                <w:sz w:val="22"/>
                <w:szCs w:val="22"/>
              </w:rPr>
            </w:pPr>
            <w:r>
              <w:rPr>
                <w:rFonts w:ascii="Arial" w:hAnsi="Arial" w:cs="Arial"/>
                <w:sz w:val="22"/>
                <w:szCs w:val="22"/>
              </w:rPr>
              <w:t>January 31,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3A5D77A7" w:rsidR="00A174CC" w:rsidRDefault="00B57D78">
            <w:pPr>
              <w:rPr>
                <w:rFonts w:ascii="Arial" w:hAnsi="Arial" w:cs="Arial"/>
                <w:sz w:val="22"/>
                <w:szCs w:val="22"/>
              </w:rPr>
            </w:pPr>
            <w:r>
              <w:rPr>
                <w:rFonts w:ascii="Arial" w:hAnsi="Arial" w:cs="Arial"/>
                <w:sz w:val="22"/>
                <w:szCs w:val="22"/>
              </w:rPr>
              <w:t>Sep 20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32A3622A" w14:textId="77777777" w:rsidR="00490439" w:rsidRDefault="00490439" w:rsidP="00490439">
            <w:pPr>
              <w:rPr>
                <w:rFonts w:ascii="Arial" w:hAnsi="Arial" w:cs="Arial"/>
                <w:sz w:val="22"/>
                <w:szCs w:val="22"/>
              </w:rPr>
            </w:pPr>
            <w:r>
              <w:rPr>
                <w:rFonts w:ascii="Arial" w:hAnsi="Arial" w:cs="Arial"/>
                <w:sz w:val="22"/>
                <w:szCs w:val="22"/>
              </w:rPr>
              <w:t>The EC has assessed and approved the proposal with the following comments that should be addressed before the ratification vote:</w:t>
            </w:r>
          </w:p>
          <w:p w14:paraId="40F9B641" w14:textId="77777777" w:rsidR="00490439" w:rsidRDefault="00490439" w:rsidP="00490439">
            <w:pPr>
              <w:rPr>
                <w:rFonts w:ascii="Arial" w:hAnsi="Arial" w:cs="Arial"/>
                <w:sz w:val="22"/>
                <w:szCs w:val="22"/>
              </w:rPr>
            </w:pPr>
          </w:p>
          <w:p w14:paraId="59A2A916" w14:textId="77777777" w:rsidR="009A1247" w:rsidRDefault="00490439" w:rsidP="009A1247">
            <w:pPr>
              <w:pStyle w:val="ListParagraph"/>
              <w:numPr>
                <w:ilvl w:val="0"/>
                <w:numId w:val="3"/>
              </w:numPr>
              <w:rPr>
                <w:rFonts w:ascii="Arial" w:hAnsi="Arial" w:cs="Arial"/>
                <w:sz w:val="22"/>
                <w:szCs w:val="22"/>
              </w:rPr>
            </w:pPr>
            <w:r>
              <w:rPr>
                <w:rFonts w:ascii="Arial" w:hAnsi="Arial" w:cs="Arial"/>
                <w:sz w:val="22"/>
                <w:szCs w:val="22"/>
              </w:rPr>
              <w:t>Please update in the Excel file the virus name to the format “</w:t>
            </w:r>
            <w:proofErr w:type="spellStart"/>
            <w:r>
              <w:rPr>
                <w:rFonts w:ascii="Arial" w:hAnsi="Arial" w:cs="Arial"/>
                <w:sz w:val="22"/>
                <w:szCs w:val="22"/>
              </w:rPr>
              <w:t>Genusname</w:t>
            </w:r>
            <w:proofErr w:type="spellEnd"/>
            <w:r>
              <w:rPr>
                <w:rFonts w:ascii="Arial" w:hAnsi="Arial" w:cs="Arial"/>
                <w:sz w:val="22"/>
                <w:szCs w:val="22"/>
              </w:rPr>
              <w:t xml:space="preserve"> sp. isolate XXX” where XXX is a unique alphanumeric code. E.g., “</w:t>
            </w:r>
            <w:r w:rsidRPr="0054479B">
              <w:rPr>
                <w:rFonts w:ascii="Arial" w:hAnsi="Arial" w:cs="Arial"/>
                <w:sz w:val="22"/>
                <w:szCs w:val="22"/>
              </w:rPr>
              <w:t>uncultured phage 1827_77749</w:t>
            </w:r>
            <w:r>
              <w:rPr>
                <w:rFonts w:ascii="Arial" w:hAnsi="Arial" w:cs="Arial"/>
                <w:sz w:val="22"/>
                <w:szCs w:val="22"/>
              </w:rPr>
              <w:t>” would become “</w:t>
            </w:r>
            <w:proofErr w:type="spellStart"/>
            <w:r>
              <w:rPr>
                <w:rFonts w:ascii="Arial" w:hAnsi="Arial" w:cs="Arial"/>
                <w:sz w:val="22"/>
                <w:szCs w:val="22"/>
              </w:rPr>
              <w:t>Satomivirus</w:t>
            </w:r>
            <w:proofErr w:type="spellEnd"/>
            <w:r>
              <w:rPr>
                <w:rFonts w:ascii="Arial" w:hAnsi="Arial" w:cs="Arial"/>
                <w:sz w:val="22"/>
                <w:szCs w:val="22"/>
              </w:rPr>
              <w:t xml:space="preserve"> sp. isolate </w:t>
            </w:r>
            <w:r w:rsidRPr="0054479B">
              <w:rPr>
                <w:rFonts w:ascii="Arial" w:hAnsi="Arial" w:cs="Arial"/>
                <w:sz w:val="22"/>
                <w:szCs w:val="22"/>
              </w:rPr>
              <w:t>1827_77749</w:t>
            </w:r>
            <w:r>
              <w:rPr>
                <w:rFonts w:ascii="Arial" w:hAnsi="Arial" w:cs="Arial"/>
                <w:sz w:val="22"/>
                <w:szCs w:val="22"/>
              </w:rPr>
              <w:t>”</w:t>
            </w:r>
          </w:p>
          <w:p w14:paraId="2B4D8BB8" w14:textId="42588993" w:rsidR="009A1247" w:rsidRPr="009A1247" w:rsidRDefault="009A1247" w:rsidP="009A1247">
            <w:pPr>
              <w:pStyle w:val="ListParagraph"/>
              <w:rPr>
                <w:rFonts w:ascii="Arial" w:hAnsi="Arial" w:cs="Arial"/>
                <w:sz w:val="22"/>
                <w:szCs w:val="22"/>
              </w:rPr>
            </w:pPr>
            <w:r w:rsidRPr="009A1247">
              <w:rPr>
                <w:rFonts w:ascii="Arial" w:hAnsi="Arial" w:cs="Arial"/>
                <w:sz w:val="22"/>
                <w:szCs w:val="22"/>
              </w:rPr>
              <w:t xml:space="preserve">Response: </w:t>
            </w:r>
            <w:r w:rsidRPr="009A1247">
              <w:rPr>
                <w:rFonts w:ascii="Helvetica" w:hAnsi="Helvetica"/>
                <w:color w:val="000000"/>
                <w:sz w:val="22"/>
                <w:szCs w:val="22"/>
              </w:rPr>
              <w:t>We have updated the virus names accordingly. </w:t>
            </w:r>
          </w:p>
          <w:p w14:paraId="6B744CCB" w14:textId="77777777" w:rsidR="009A1247" w:rsidRPr="009A1247" w:rsidRDefault="009A1247" w:rsidP="009A1247">
            <w:pPr>
              <w:rPr>
                <w:rFonts w:ascii="Arial" w:hAnsi="Arial" w:cs="Arial"/>
                <w:sz w:val="22"/>
                <w:szCs w:val="22"/>
              </w:rPr>
            </w:pPr>
          </w:p>
          <w:p w14:paraId="535FB041" w14:textId="77777777" w:rsidR="009A1247" w:rsidRDefault="00490439" w:rsidP="009A1247">
            <w:pPr>
              <w:pStyle w:val="ListParagraph"/>
              <w:numPr>
                <w:ilvl w:val="0"/>
                <w:numId w:val="3"/>
              </w:numPr>
              <w:rPr>
                <w:rFonts w:ascii="Arial" w:hAnsi="Arial" w:cs="Arial"/>
                <w:sz w:val="22"/>
                <w:szCs w:val="22"/>
              </w:rPr>
            </w:pPr>
            <w:r>
              <w:rPr>
                <w:rFonts w:ascii="Arial" w:hAnsi="Arial" w:cs="Arial"/>
                <w:sz w:val="22"/>
                <w:szCs w:val="22"/>
              </w:rPr>
              <w:t>The EC noticed that all exemplar virus genome gene products were over-annotated (see Table 1). If the evidence is low (low probability, e-value higher than 10</w:t>
            </w:r>
            <w:r>
              <w:rPr>
                <w:rFonts w:ascii="Arial" w:hAnsi="Arial" w:cs="Arial"/>
                <w:sz w:val="22"/>
                <w:szCs w:val="22"/>
                <w:vertAlign w:val="superscript"/>
              </w:rPr>
              <w:t>-3</w:t>
            </w:r>
            <w:r>
              <w:rPr>
                <w:rFonts w:ascii="Arial" w:hAnsi="Arial" w:cs="Arial"/>
                <w:sz w:val="22"/>
                <w:szCs w:val="22"/>
              </w:rPr>
              <w:t xml:space="preserve">, low </w:t>
            </w:r>
            <w:proofErr w:type="spellStart"/>
            <w:r>
              <w:rPr>
                <w:rFonts w:ascii="Arial" w:hAnsi="Arial" w:cs="Arial"/>
                <w:sz w:val="22"/>
                <w:szCs w:val="22"/>
              </w:rPr>
              <w:t>bitscore</w:t>
            </w:r>
            <w:proofErr w:type="spellEnd"/>
            <w:r>
              <w:rPr>
                <w:rFonts w:ascii="Arial" w:hAnsi="Arial" w:cs="Arial"/>
                <w:sz w:val="22"/>
                <w:szCs w:val="22"/>
              </w:rPr>
              <w:t xml:space="preserve">), then these gene products should be annotated as “hypothetical protein”. Please consider updating the GenBank records as they will now be used as high-quality representative records.  </w:t>
            </w:r>
          </w:p>
          <w:p w14:paraId="2602E70D" w14:textId="29198713" w:rsidR="009A1247" w:rsidRPr="009A1247" w:rsidRDefault="009A1247" w:rsidP="009A1247">
            <w:pPr>
              <w:pStyle w:val="ListParagraph"/>
              <w:rPr>
                <w:rFonts w:ascii="Arial" w:hAnsi="Arial" w:cs="Arial"/>
                <w:sz w:val="22"/>
                <w:szCs w:val="22"/>
              </w:rPr>
            </w:pPr>
            <w:r w:rsidRPr="009A1247">
              <w:rPr>
                <w:rFonts w:ascii="Arial" w:hAnsi="Arial" w:cs="Arial"/>
                <w:sz w:val="22"/>
                <w:szCs w:val="22"/>
              </w:rPr>
              <w:t xml:space="preserve">Response: </w:t>
            </w:r>
            <w:r w:rsidRPr="009A1247">
              <w:rPr>
                <w:rFonts w:ascii="Helvetica" w:hAnsi="Helvetica"/>
                <w:color w:val="000000"/>
                <w:sz w:val="22"/>
                <w:szCs w:val="22"/>
              </w:rPr>
              <w:t xml:space="preserve">We have annotated “hypothetical protein” for genes with low confidence values (probability &lt; 90%). The same threshold was applied for genes in GenBank. </w:t>
            </w:r>
          </w:p>
          <w:p w14:paraId="44EA994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353D2F7E" w14:textId="77777777" w:rsidR="003B6978" w:rsidRDefault="003B6978">
      <w:pPr>
        <w:pStyle w:val="BodyTextIndent"/>
        <w:spacing w:before="120" w:after="120"/>
        <w:ind w:left="0" w:firstLine="0"/>
        <w:rPr>
          <w:rFonts w:ascii="Arial" w:hAnsi="Arial" w:cs="Arial"/>
          <w:b/>
          <w:color w:val="000000"/>
          <w:szCs w:val="24"/>
        </w:rPr>
      </w:pPr>
    </w:p>
    <w:p w14:paraId="1FF52469" w14:textId="0753B930"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lastRenderedPageBreak/>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8AAD369" w:rsidR="00A174CC" w:rsidRDefault="006070D8">
            <w:pPr>
              <w:spacing w:before="120" w:after="120"/>
              <w:rPr>
                <w:rFonts w:ascii="Arial" w:hAnsi="Arial" w:cs="Arial"/>
                <w:bCs/>
                <w:sz w:val="22"/>
                <w:szCs w:val="22"/>
              </w:rPr>
            </w:pPr>
            <w:r w:rsidRPr="006070D8">
              <w:rPr>
                <w:rFonts w:ascii="Arial" w:hAnsi="Arial" w:cs="Arial"/>
                <w:bCs/>
                <w:sz w:val="22"/>
                <w:szCs w:val="22"/>
              </w:rPr>
              <w:t>2023.069B.</w:t>
            </w:r>
            <w:r w:rsidR="008B67DE">
              <w:rPr>
                <w:rFonts w:ascii="Arial" w:hAnsi="Arial" w:cs="Arial"/>
                <w:bCs/>
                <w:sz w:val="22"/>
                <w:szCs w:val="22"/>
              </w:rPr>
              <w:t>A</w:t>
            </w:r>
            <w:r w:rsidRPr="006070D8">
              <w:rPr>
                <w:rFonts w:ascii="Arial" w:hAnsi="Arial" w:cs="Arial"/>
                <w:bCs/>
                <w:sz w:val="22"/>
                <w:szCs w:val="22"/>
              </w:rPr>
              <w:t>.v1.Toyamaviridae_nf</w:t>
            </w:r>
            <w:r w:rsidR="008618EC" w:rsidRPr="008618EC">
              <w:rPr>
                <w:rFonts w:ascii="Arial" w:hAnsi="Arial" w:cs="Arial"/>
                <w:bCs/>
                <w:sz w:val="22"/>
                <w:szCs w:val="22"/>
              </w:rPr>
              <w:t>.xlsx</w:t>
            </w:r>
          </w:p>
        </w:tc>
      </w:tr>
    </w:tbl>
    <w:p w14:paraId="70690697" w14:textId="5BB5CDC3"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C414680" w14:textId="77777777" w:rsidR="00507033" w:rsidRDefault="00507033" w:rsidP="008618EC">
            <w:pPr>
              <w:jc w:val="both"/>
              <w:rPr>
                <w:rFonts w:ascii="Arial" w:hAnsi="Arial" w:cs="Arial"/>
                <w:color w:val="000000"/>
                <w:sz w:val="20"/>
                <w:szCs w:val="20"/>
              </w:rPr>
            </w:pPr>
          </w:p>
          <w:p w14:paraId="69A7908A" w14:textId="5B016360" w:rsidR="008618EC" w:rsidRDefault="008618EC" w:rsidP="008618EC">
            <w:pPr>
              <w:jc w:val="both"/>
              <w:rPr>
                <w:rFonts w:ascii="Arial" w:hAnsi="Arial" w:cs="Arial"/>
                <w:color w:val="000000"/>
                <w:sz w:val="20"/>
                <w:szCs w:val="20"/>
              </w:rPr>
            </w:pPr>
            <w:r w:rsidRPr="00DE1D3B">
              <w:rPr>
                <w:rFonts w:ascii="Arial" w:hAnsi="Arial" w:cs="Arial"/>
                <w:color w:val="000000"/>
                <w:sz w:val="20"/>
                <w:szCs w:val="20"/>
              </w:rPr>
              <w:t xml:space="preserve">Shotgun metagenomic analysis has </w:t>
            </w:r>
            <w:r>
              <w:rPr>
                <w:rFonts w:ascii="Arial" w:hAnsi="Arial" w:cs="Arial"/>
                <w:color w:val="000000"/>
                <w:sz w:val="20"/>
                <w:szCs w:val="20"/>
              </w:rPr>
              <w:t>uncovered</w:t>
            </w:r>
            <w:r w:rsidRPr="00DE1D3B">
              <w:rPr>
                <w:rFonts w:ascii="Arial" w:hAnsi="Arial" w:cs="Arial"/>
                <w:color w:val="000000"/>
                <w:sz w:val="20"/>
                <w:szCs w:val="20"/>
              </w:rPr>
              <w:t xml:space="preserve"> </w:t>
            </w:r>
            <w:r>
              <w:rPr>
                <w:rFonts w:ascii="Arial" w:hAnsi="Arial" w:cs="Arial"/>
                <w:color w:val="000000"/>
                <w:sz w:val="20"/>
                <w:szCs w:val="20"/>
              </w:rPr>
              <w:t>a diverse range</w:t>
            </w:r>
            <w:r w:rsidRPr="00DE1D3B">
              <w:rPr>
                <w:rFonts w:ascii="Arial" w:hAnsi="Arial" w:cs="Arial"/>
                <w:color w:val="000000"/>
                <w:sz w:val="20"/>
                <w:szCs w:val="20"/>
              </w:rPr>
              <w:t xml:space="preserve"> of</w:t>
            </w:r>
            <w:r>
              <w:rPr>
                <w:rFonts w:ascii="Arial" w:hAnsi="Arial" w:cs="Arial"/>
                <w:color w:val="000000"/>
                <w:sz w:val="20"/>
                <w:szCs w:val="20"/>
              </w:rPr>
              <w:t xml:space="preserve"> double-stranded DNA</w:t>
            </w:r>
            <w:r w:rsidRPr="00DE1D3B">
              <w:rPr>
                <w:rFonts w:ascii="Arial" w:hAnsi="Arial" w:cs="Arial"/>
                <w:color w:val="000000"/>
                <w:sz w:val="20"/>
                <w:szCs w:val="20"/>
              </w:rPr>
              <w:t xml:space="preserve"> </w:t>
            </w:r>
            <w:r>
              <w:rPr>
                <w:rFonts w:ascii="Arial" w:hAnsi="Arial" w:cs="Arial"/>
                <w:color w:val="000000"/>
                <w:sz w:val="20"/>
                <w:szCs w:val="20"/>
              </w:rPr>
              <w:t>(</w:t>
            </w:r>
            <w:r w:rsidRPr="00DE1D3B">
              <w:rPr>
                <w:rFonts w:ascii="Arial" w:hAnsi="Arial" w:cs="Arial"/>
                <w:color w:val="000000"/>
                <w:sz w:val="20"/>
                <w:szCs w:val="20"/>
              </w:rPr>
              <w:t>dsDNA</w:t>
            </w:r>
            <w:r>
              <w:rPr>
                <w:rFonts w:ascii="Arial" w:hAnsi="Arial" w:cs="Arial"/>
                <w:color w:val="000000"/>
                <w:sz w:val="20"/>
                <w:szCs w:val="20"/>
              </w:rPr>
              <w:t>)</w:t>
            </w:r>
            <w:r w:rsidRPr="00DE1D3B">
              <w:rPr>
                <w:rFonts w:ascii="Arial" w:hAnsi="Arial" w:cs="Arial"/>
                <w:color w:val="000000"/>
                <w:sz w:val="20"/>
                <w:szCs w:val="20"/>
              </w:rPr>
              <w:t xml:space="preserve"> viruses </w:t>
            </w:r>
            <w:r>
              <w:rPr>
                <w:rFonts w:ascii="Arial" w:hAnsi="Arial" w:cs="Arial"/>
                <w:color w:val="000000"/>
                <w:sz w:val="20"/>
                <w:szCs w:val="20"/>
              </w:rPr>
              <w:t>within</w:t>
            </w:r>
            <w:r w:rsidRPr="00DE1D3B">
              <w:rPr>
                <w:rFonts w:ascii="Arial" w:hAnsi="Arial" w:cs="Arial"/>
                <w:color w:val="000000"/>
                <w:sz w:val="20"/>
                <w:szCs w:val="20"/>
              </w:rPr>
              <w:t xml:space="preserve"> the human gut. </w:t>
            </w:r>
            <w:r>
              <w:rPr>
                <w:rFonts w:ascii="Arial" w:hAnsi="Arial" w:cs="Arial"/>
                <w:color w:val="000000"/>
                <w:sz w:val="20"/>
                <w:szCs w:val="20"/>
              </w:rPr>
              <w:t>Recently, t</w:t>
            </w:r>
            <w:r w:rsidRPr="00DE1D3B">
              <w:rPr>
                <w:rFonts w:ascii="Arial" w:hAnsi="Arial" w:cs="Arial"/>
                <w:color w:val="000000"/>
                <w:sz w:val="20"/>
                <w:szCs w:val="20"/>
              </w:rPr>
              <w:t xml:space="preserve">he analysis revealed </w:t>
            </w:r>
            <w:r>
              <w:rPr>
                <w:rFonts w:ascii="Arial" w:hAnsi="Arial" w:cs="Arial"/>
                <w:color w:val="000000"/>
                <w:sz w:val="20"/>
                <w:szCs w:val="20"/>
              </w:rPr>
              <w:t xml:space="preserve">a </w:t>
            </w:r>
            <w:r w:rsidRPr="00DE1D3B">
              <w:rPr>
                <w:rFonts w:ascii="Arial" w:hAnsi="Arial" w:cs="Arial"/>
                <w:color w:val="000000"/>
                <w:sz w:val="20"/>
                <w:szCs w:val="20"/>
              </w:rPr>
              <w:t xml:space="preserve">highly-abundant and prevalent dsDNA viral clade in the human gut, such as </w:t>
            </w:r>
            <w:proofErr w:type="spellStart"/>
            <w:r w:rsidRPr="00DE1D3B">
              <w:rPr>
                <w:rFonts w:ascii="Arial" w:hAnsi="Arial" w:cs="Arial"/>
                <w:i/>
                <w:iCs/>
                <w:color w:val="000000"/>
                <w:sz w:val="20"/>
                <w:szCs w:val="20"/>
              </w:rPr>
              <w:t>Crassvirales</w:t>
            </w:r>
            <w:proofErr w:type="spellEnd"/>
            <w:r w:rsidRPr="00DE1D3B">
              <w:rPr>
                <w:rFonts w:ascii="Arial" w:hAnsi="Arial" w:cs="Arial"/>
                <w:color w:val="000000"/>
                <w:sz w:val="20"/>
                <w:szCs w:val="20"/>
              </w:rPr>
              <w:t xml:space="preserve"> (realm: </w:t>
            </w:r>
            <w:proofErr w:type="spellStart"/>
            <w:r w:rsidRPr="00DE1D3B">
              <w:rPr>
                <w:rFonts w:ascii="Arial" w:hAnsi="Arial" w:cs="Arial"/>
                <w:i/>
                <w:iCs/>
                <w:color w:val="000000"/>
                <w:sz w:val="20"/>
                <w:szCs w:val="20"/>
              </w:rPr>
              <w:t>Duplodnaviria</w:t>
            </w:r>
            <w:proofErr w:type="spellEnd"/>
            <w:r w:rsidRPr="00DE1D3B">
              <w:rPr>
                <w:rFonts w:ascii="Arial" w:hAnsi="Arial" w:cs="Arial"/>
                <w:color w:val="000000"/>
                <w:sz w:val="20"/>
                <w:szCs w:val="20"/>
              </w:rPr>
              <w:t xml:space="preserve">, kingdom: </w:t>
            </w:r>
            <w:proofErr w:type="spellStart"/>
            <w:r w:rsidRPr="00DE1D3B">
              <w:rPr>
                <w:rFonts w:ascii="Arial" w:hAnsi="Arial" w:cs="Arial"/>
                <w:i/>
                <w:iCs/>
                <w:color w:val="000000"/>
                <w:sz w:val="20"/>
                <w:szCs w:val="20"/>
              </w:rPr>
              <w:t>Heunggongvirae</w:t>
            </w:r>
            <w:proofErr w:type="spellEnd"/>
            <w:r w:rsidRPr="00DE1D3B">
              <w:rPr>
                <w:rFonts w:ascii="Arial" w:hAnsi="Arial" w:cs="Arial"/>
                <w:color w:val="000000"/>
                <w:sz w:val="20"/>
                <w:szCs w:val="20"/>
              </w:rPr>
              <w:t xml:space="preserve">, phylum: </w:t>
            </w:r>
            <w:proofErr w:type="spellStart"/>
            <w:r w:rsidRPr="00DE1D3B">
              <w:rPr>
                <w:rFonts w:ascii="Arial" w:hAnsi="Arial" w:cs="Arial"/>
                <w:i/>
                <w:iCs/>
                <w:color w:val="000000"/>
                <w:sz w:val="20"/>
                <w:szCs w:val="20"/>
              </w:rPr>
              <w:t>Uroviricota</w:t>
            </w:r>
            <w:proofErr w:type="spellEnd"/>
            <w:r w:rsidRPr="00DE1D3B">
              <w:rPr>
                <w:rFonts w:ascii="Arial" w:hAnsi="Arial" w:cs="Arial"/>
                <w:color w:val="000000"/>
                <w:sz w:val="20"/>
                <w:szCs w:val="20"/>
              </w:rPr>
              <w:t xml:space="preserve">, class: </w:t>
            </w:r>
            <w:proofErr w:type="spellStart"/>
            <w:r w:rsidRPr="00DE1D3B">
              <w:rPr>
                <w:rFonts w:ascii="Arial" w:hAnsi="Arial" w:cs="Arial"/>
                <w:i/>
                <w:iCs/>
                <w:color w:val="000000"/>
                <w:sz w:val="20"/>
                <w:szCs w:val="20"/>
              </w:rPr>
              <w:t>Caudoviricetes</w:t>
            </w:r>
            <w:proofErr w:type="spellEnd"/>
            <w:r w:rsidRPr="00DE1D3B">
              <w:rPr>
                <w:rFonts w:ascii="Arial" w:hAnsi="Arial" w:cs="Arial"/>
                <w:color w:val="000000"/>
                <w:sz w:val="20"/>
                <w:szCs w:val="20"/>
              </w:rPr>
              <w:t xml:space="preserve">). In a large-scale cohort study on the Japanese gut microbiome, we identified </w:t>
            </w:r>
            <w:r w:rsidR="00360A02">
              <w:rPr>
                <w:rFonts w:ascii="Arial" w:hAnsi="Arial" w:cs="Arial"/>
                <w:color w:val="000000"/>
                <w:sz w:val="20"/>
                <w:szCs w:val="20"/>
              </w:rPr>
              <w:t>228</w:t>
            </w:r>
            <w:r w:rsidRPr="00DE1D3B">
              <w:rPr>
                <w:rFonts w:ascii="Arial" w:hAnsi="Arial" w:cs="Arial"/>
                <w:color w:val="000000"/>
                <w:sz w:val="20"/>
                <w:szCs w:val="20"/>
              </w:rPr>
              <w:t xml:space="preserve"> high-quality </w:t>
            </w:r>
            <w:r>
              <w:rPr>
                <w:rFonts w:ascii="Arial" w:hAnsi="Arial" w:cs="Arial"/>
                <w:color w:val="000000"/>
                <w:sz w:val="20"/>
                <w:szCs w:val="20"/>
              </w:rPr>
              <w:t xml:space="preserve">dsDNA phage </w:t>
            </w:r>
            <w:r w:rsidRPr="00DE1D3B">
              <w:rPr>
                <w:rFonts w:ascii="Arial" w:hAnsi="Arial" w:cs="Arial"/>
                <w:color w:val="000000"/>
                <w:sz w:val="20"/>
                <w:szCs w:val="20"/>
              </w:rPr>
              <w:t>genomes</w:t>
            </w:r>
            <w:r>
              <w:rPr>
                <w:rFonts w:ascii="Arial" w:hAnsi="Arial" w:cs="Arial"/>
                <w:color w:val="000000"/>
                <w:sz w:val="20"/>
                <w:szCs w:val="20"/>
              </w:rPr>
              <w:t xml:space="preserve"> that shared conserved genomic structures among them</w:t>
            </w:r>
            <w:r w:rsidRPr="00DE1D3B">
              <w:rPr>
                <w:rFonts w:ascii="Arial" w:hAnsi="Arial" w:cs="Arial"/>
                <w:color w:val="000000"/>
                <w:sz w:val="20"/>
                <w:szCs w:val="20"/>
              </w:rPr>
              <w:t xml:space="preserve">. </w:t>
            </w:r>
            <w:r>
              <w:rPr>
                <w:rFonts w:ascii="Arial" w:hAnsi="Arial" w:cs="Arial"/>
                <w:color w:val="000000"/>
                <w:sz w:val="20"/>
                <w:szCs w:val="20"/>
              </w:rPr>
              <w:t>These</w:t>
            </w:r>
            <w:r w:rsidRPr="00DE1D3B">
              <w:rPr>
                <w:rFonts w:ascii="Arial" w:hAnsi="Arial" w:cs="Arial"/>
                <w:color w:val="000000"/>
                <w:sz w:val="20"/>
                <w:szCs w:val="20"/>
              </w:rPr>
              <w:t xml:space="preserve"> genome</w:t>
            </w:r>
            <w:r>
              <w:rPr>
                <w:rFonts w:ascii="Arial" w:hAnsi="Arial" w:cs="Arial"/>
                <w:color w:val="000000"/>
                <w:sz w:val="20"/>
                <w:szCs w:val="20"/>
              </w:rPr>
              <w:t>s exhibited an average size</w:t>
            </w:r>
            <w:r w:rsidRPr="00DE1D3B">
              <w:rPr>
                <w:rFonts w:ascii="Arial" w:hAnsi="Arial" w:cs="Arial"/>
                <w:color w:val="000000"/>
                <w:sz w:val="20"/>
                <w:szCs w:val="20"/>
              </w:rPr>
              <w:t xml:space="preserve"> of approximately </w:t>
            </w:r>
            <w:r>
              <w:rPr>
                <w:rFonts w:ascii="Arial" w:hAnsi="Arial" w:cs="Arial"/>
                <w:color w:val="000000"/>
                <w:sz w:val="20"/>
                <w:szCs w:val="20"/>
              </w:rPr>
              <w:t>53.1</w:t>
            </w:r>
            <w:r w:rsidRPr="00DE1D3B">
              <w:rPr>
                <w:rFonts w:ascii="Arial" w:hAnsi="Arial" w:cs="Arial"/>
                <w:color w:val="000000"/>
                <w:sz w:val="20"/>
                <w:szCs w:val="20"/>
              </w:rPr>
              <w:t xml:space="preserve">k bp and a GC content of </w:t>
            </w:r>
            <w:r>
              <w:rPr>
                <w:rFonts w:ascii="Arial" w:hAnsi="Arial" w:cs="Arial"/>
                <w:color w:val="000000"/>
                <w:sz w:val="20"/>
                <w:szCs w:val="20"/>
              </w:rPr>
              <w:t>38.7</w:t>
            </w:r>
            <w:r w:rsidRPr="00DE1D3B">
              <w:rPr>
                <w:rFonts w:ascii="Arial" w:hAnsi="Arial" w:cs="Arial"/>
                <w:color w:val="000000"/>
                <w:sz w:val="20"/>
                <w:szCs w:val="20"/>
              </w:rPr>
              <w:t>%, and were detected in approximately 7</w:t>
            </w:r>
            <w:r>
              <w:rPr>
                <w:rFonts w:ascii="Arial" w:hAnsi="Arial" w:cs="Arial"/>
                <w:color w:val="000000"/>
                <w:sz w:val="20"/>
                <w:szCs w:val="20"/>
              </w:rPr>
              <w:t>2.5</w:t>
            </w:r>
            <w:r w:rsidRPr="00DE1D3B">
              <w:rPr>
                <w:rFonts w:ascii="Arial" w:hAnsi="Arial" w:cs="Arial"/>
                <w:color w:val="000000"/>
                <w:sz w:val="20"/>
                <w:szCs w:val="20"/>
              </w:rPr>
              <w:t>% of the individuals</w:t>
            </w:r>
            <w:r>
              <w:rPr>
                <w:rFonts w:ascii="Arial" w:hAnsi="Arial" w:cs="Arial"/>
                <w:color w:val="000000"/>
                <w:sz w:val="20"/>
                <w:szCs w:val="20"/>
              </w:rPr>
              <w:t xml:space="preserve"> in the cohort</w:t>
            </w:r>
            <w:r w:rsidRPr="00DE1D3B">
              <w:rPr>
                <w:rFonts w:ascii="Arial" w:hAnsi="Arial" w:cs="Arial"/>
                <w:color w:val="000000"/>
                <w:sz w:val="20"/>
                <w:szCs w:val="20"/>
              </w:rPr>
              <w:t xml:space="preserve">. </w:t>
            </w:r>
            <w:r>
              <w:rPr>
                <w:rFonts w:ascii="Arial" w:hAnsi="Arial" w:cs="Arial"/>
                <w:color w:val="000000"/>
                <w:sz w:val="20"/>
                <w:szCs w:val="20"/>
              </w:rPr>
              <w:t>C</w:t>
            </w:r>
            <w:r w:rsidRPr="00DE1D3B">
              <w:rPr>
                <w:rFonts w:ascii="Arial" w:hAnsi="Arial" w:cs="Arial"/>
                <w:color w:val="000000"/>
                <w:sz w:val="20"/>
                <w:szCs w:val="20"/>
              </w:rPr>
              <w:t>omparative analysis with known phages in GenBank</w:t>
            </w:r>
            <w:r>
              <w:rPr>
                <w:rFonts w:ascii="Arial" w:hAnsi="Arial" w:cs="Arial"/>
                <w:color w:val="000000"/>
                <w:sz w:val="20"/>
                <w:szCs w:val="20"/>
              </w:rPr>
              <w:t xml:space="preserve"> showed that</w:t>
            </w:r>
            <w:r w:rsidRPr="00DE1D3B">
              <w:rPr>
                <w:rFonts w:ascii="Arial" w:hAnsi="Arial" w:cs="Arial"/>
                <w:color w:val="000000"/>
                <w:sz w:val="20"/>
                <w:szCs w:val="20"/>
              </w:rPr>
              <w:t xml:space="preserve"> they form</w:t>
            </w:r>
            <w:r>
              <w:rPr>
                <w:rFonts w:ascii="Arial" w:hAnsi="Arial" w:cs="Arial"/>
                <w:color w:val="000000"/>
                <w:sz w:val="20"/>
                <w:szCs w:val="20"/>
              </w:rPr>
              <w:t>ed</w:t>
            </w:r>
            <w:r w:rsidRPr="00DE1D3B">
              <w:rPr>
                <w:rFonts w:ascii="Arial" w:hAnsi="Arial" w:cs="Arial"/>
                <w:color w:val="000000"/>
                <w:sz w:val="20"/>
                <w:szCs w:val="20"/>
              </w:rPr>
              <w:t xml:space="preserve"> a cluster distinct from other known viral clades. </w:t>
            </w:r>
            <w:r>
              <w:rPr>
                <w:rFonts w:ascii="Arial" w:hAnsi="Arial" w:cs="Arial"/>
                <w:color w:val="000000"/>
                <w:sz w:val="20"/>
                <w:szCs w:val="20"/>
              </w:rPr>
              <w:t>Within this clade,</w:t>
            </w:r>
            <w:r w:rsidRPr="00DE1D3B">
              <w:rPr>
                <w:rFonts w:ascii="Arial" w:hAnsi="Arial" w:cs="Arial"/>
                <w:color w:val="000000"/>
                <w:sz w:val="20"/>
                <w:szCs w:val="20"/>
              </w:rPr>
              <w:t xml:space="preserve"> </w:t>
            </w:r>
            <w:r>
              <w:rPr>
                <w:rFonts w:ascii="Arial" w:hAnsi="Arial" w:cs="Arial"/>
                <w:color w:val="000000"/>
                <w:sz w:val="20"/>
                <w:szCs w:val="20"/>
              </w:rPr>
              <w:t>62.0</w:t>
            </w:r>
            <w:r w:rsidRPr="00DE1D3B">
              <w:rPr>
                <w:rFonts w:ascii="Arial" w:hAnsi="Arial" w:cs="Arial"/>
                <w:color w:val="000000"/>
                <w:sz w:val="20"/>
                <w:szCs w:val="20"/>
              </w:rPr>
              <w:t xml:space="preserve">% of protein clusters </w:t>
            </w:r>
            <w:r>
              <w:rPr>
                <w:rFonts w:ascii="Arial" w:hAnsi="Arial" w:cs="Arial"/>
                <w:color w:val="000000"/>
                <w:sz w:val="20"/>
                <w:szCs w:val="20"/>
              </w:rPr>
              <w:t xml:space="preserve">were shared among the phages, while </w:t>
            </w:r>
            <w:r w:rsidRPr="00DE1D3B">
              <w:rPr>
                <w:rFonts w:ascii="Arial" w:hAnsi="Arial" w:cs="Arial"/>
                <w:color w:val="000000"/>
                <w:sz w:val="20"/>
                <w:szCs w:val="20"/>
              </w:rPr>
              <w:t>1</w:t>
            </w:r>
            <w:r>
              <w:rPr>
                <w:rFonts w:ascii="Arial" w:hAnsi="Arial" w:cs="Arial"/>
                <w:color w:val="000000"/>
                <w:sz w:val="20"/>
                <w:szCs w:val="20"/>
              </w:rPr>
              <w:t>.2</w:t>
            </w:r>
            <w:r w:rsidRPr="00DE1D3B">
              <w:rPr>
                <w:rFonts w:ascii="Arial" w:hAnsi="Arial" w:cs="Arial"/>
                <w:color w:val="000000"/>
                <w:sz w:val="20"/>
                <w:szCs w:val="20"/>
              </w:rPr>
              <w:t xml:space="preserve">% of protein clusters were shared with the other known phages. Here, we propose the establishment of a new </w:t>
            </w:r>
            <w:r>
              <w:rPr>
                <w:rFonts w:ascii="Arial" w:hAnsi="Arial" w:cs="Arial"/>
                <w:color w:val="000000"/>
                <w:sz w:val="20"/>
                <w:szCs w:val="20"/>
              </w:rPr>
              <w:t xml:space="preserve">dsDNA </w:t>
            </w:r>
            <w:r w:rsidRPr="00DE1D3B">
              <w:rPr>
                <w:rFonts w:ascii="Arial" w:hAnsi="Arial" w:cs="Arial"/>
                <w:color w:val="000000"/>
                <w:sz w:val="20"/>
                <w:szCs w:val="20"/>
              </w:rPr>
              <w:t xml:space="preserve">virus family </w:t>
            </w:r>
            <w:proofErr w:type="spellStart"/>
            <w:r w:rsidR="00360A02" w:rsidRPr="00360A02">
              <w:rPr>
                <w:rFonts w:ascii="Arial" w:hAnsi="Arial" w:cs="Arial"/>
                <w:i/>
                <w:iCs/>
                <w:color w:val="000000"/>
                <w:sz w:val="20"/>
                <w:szCs w:val="20"/>
              </w:rPr>
              <w:t>Toyamaviridae</w:t>
            </w:r>
            <w:proofErr w:type="spellEnd"/>
            <w:r w:rsidR="00360A02">
              <w:rPr>
                <w:rFonts w:ascii="Arial" w:hAnsi="Arial" w:cs="Arial"/>
                <w:i/>
                <w:iCs/>
                <w:color w:val="000000"/>
                <w:sz w:val="20"/>
                <w:szCs w:val="20"/>
              </w:rPr>
              <w:t xml:space="preserve"> </w:t>
            </w:r>
            <w:r w:rsidR="00360A02" w:rsidRPr="00360A02">
              <w:rPr>
                <w:rFonts w:ascii="Arial" w:hAnsi="Arial" w:cs="Arial"/>
                <w:color w:val="000000"/>
                <w:sz w:val="20"/>
                <w:szCs w:val="20"/>
              </w:rPr>
              <w:t>including</w:t>
            </w:r>
            <w:r w:rsidR="00360A02">
              <w:rPr>
                <w:rFonts w:ascii="Arial" w:hAnsi="Arial" w:cs="Arial"/>
                <w:i/>
                <w:iCs/>
                <w:color w:val="000000"/>
                <w:sz w:val="20"/>
                <w:szCs w:val="20"/>
              </w:rPr>
              <w:t xml:space="preserve"> </w:t>
            </w:r>
            <w:r w:rsidR="00360A02">
              <w:rPr>
                <w:rFonts w:ascii="Arial" w:hAnsi="Arial" w:cs="Arial"/>
                <w:color w:val="000000"/>
                <w:sz w:val="20"/>
                <w:szCs w:val="20"/>
              </w:rPr>
              <w:t>three new genera and species</w:t>
            </w:r>
            <w:r w:rsidRPr="00DE1D3B">
              <w:rPr>
                <w:rFonts w:ascii="Arial" w:hAnsi="Arial" w:cs="Arial"/>
                <w:color w:val="000000"/>
                <w:sz w:val="20"/>
                <w:szCs w:val="20"/>
              </w:rPr>
              <w:t>.</w:t>
            </w:r>
          </w:p>
          <w:p w14:paraId="2AB201D8" w14:textId="68A3A96C" w:rsidR="00507033" w:rsidRPr="000C12FB" w:rsidRDefault="00507033" w:rsidP="008618EC">
            <w:pPr>
              <w:jc w:val="both"/>
              <w:rPr>
                <w:rFonts w:ascii="Arial" w:hAnsi="Arial" w:cs="Arial"/>
                <w:color w:val="000000"/>
                <w:sz w:val="20"/>
                <w:szCs w:val="20"/>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1151ED9" w:rsidR="00A174CC" w:rsidRDefault="00A174CC" w:rsidP="000C12FB">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rsidTr="008618EC">
              <w:trPr>
                <w:trHeight w:val="2663"/>
              </w:trPr>
              <w:tc>
                <w:tcPr>
                  <w:tcW w:w="9002" w:type="dxa"/>
                  <w:shd w:val="clear" w:color="auto" w:fill="auto"/>
                </w:tcPr>
                <w:p w14:paraId="49737C03" w14:textId="14C338A6" w:rsidR="00A174CC" w:rsidRDefault="00A174CC">
                  <w:pPr>
                    <w:rPr>
                      <w:rFonts w:ascii="Arial" w:hAnsi="Arial" w:cs="Arial"/>
                      <w:color w:val="0000FF"/>
                      <w:sz w:val="22"/>
                      <w:szCs w:val="22"/>
                    </w:rPr>
                  </w:pPr>
                </w:p>
                <w:p w14:paraId="36D69638" w14:textId="77777777" w:rsidR="002F6658" w:rsidRDefault="002F6658" w:rsidP="002F6658">
                  <w:pPr>
                    <w:pStyle w:val="NormalWeb"/>
                    <w:spacing w:before="0" w:beforeAutospacing="0" w:after="0" w:afterAutospacing="0"/>
                    <w:jc w:val="both"/>
                  </w:pPr>
                  <w:r>
                    <w:rPr>
                      <w:rFonts w:ascii="Arial" w:hAnsi="Arial" w:cs="Arial"/>
                      <w:b/>
                      <w:bCs/>
                      <w:color w:val="000000"/>
                      <w:sz w:val="20"/>
                      <w:szCs w:val="20"/>
                    </w:rPr>
                    <w:t>Family demarcation criteria:</w:t>
                  </w:r>
                </w:p>
                <w:p w14:paraId="614DA7BA" w14:textId="77777777" w:rsidR="002F6658" w:rsidRDefault="002F6658" w:rsidP="002F6658">
                  <w:pPr>
                    <w:pStyle w:val="NormalWeb"/>
                    <w:spacing w:before="0" w:beforeAutospacing="0" w:after="0" w:afterAutospacing="0"/>
                    <w:jc w:val="both"/>
                  </w:pPr>
                  <w:r>
                    <w:rPr>
                      <w:rFonts w:ascii="Arial" w:hAnsi="Arial" w:cs="Arial"/>
                      <w:color w:val="000000"/>
                      <w:sz w:val="20"/>
                      <w:szCs w:val="20"/>
                    </w:rPr>
                    <w:t xml:space="preserve">The proposed family was defined primarily based on a gene-sharing network approach using vConTACT2 as well as percentages of shared genes. Phylogenetic trees were constructed based on conserved proteins (large </w:t>
                  </w:r>
                  <w:proofErr w:type="spellStart"/>
                  <w:r>
                    <w:rPr>
                      <w:rFonts w:ascii="Arial" w:hAnsi="Arial" w:cs="Arial"/>
                      <w:color w:val="000000"/>
                      <w:sz w:val="20"/>
                      <w:szCs w:val="20"/>
                    </w:rPr>
                    <w:t>terminase</w:t>
                  </w:r>
                  <w:proofErr w:type="spellEnd"/>
                  <w:r>
                    <w:rPr>
                      <w:rFonts w:ascii="Arial" w:hAnsi="Arial" w:cs="Arial"/>
                      <w:color w:val="000000"/>
                      <w:sz w:val="20"/>
                      <w:szCs w:val="20"/>
                    </w:rPr>
                    <w:t>, major capsid protein, and portal protein) to confirm the phylogenetic uniqueness of the proposed family compared to any known families.</w:t>
                  </w:r>
                </w:p>
                <w:p w14:paraId="7B286C0C" w14:textId="77777777" w:rsidR="002F6658" w:rsidRDefault="002F6658" w:rsidP="002F6658">
                  <w:pPr>
                    <w:pStyle w:val="NormalWeb"/>
                    <w:spacing w:before="0" w:beforeAutospacing="0" w:after="0" w:afterAutospacing="0"/>
                    <w:jc w:val="both"/>
                  </w:pPr>
                  <w:r>
                    <w:rPr>
                      <w:rFonts w:ascii="Arial" w:hAnsi="Arial" w:cs="Arial"/>
                      <w:b/>
                      <w:bCs/>
                      <w:color w:val="000000"/>
                      <w:sz w:val="20"/>
                      <w:szCs w:val="20"/>
                    </w:rPr>
                    <w:t> </w:t>
                  </w:r>
                </w:p>
                <w:p w14:paraId="58C614A0" w14:textId="77777777" w:rsidR="002F6658" w:rsidRDefault="002F6658" w:rsidP="002F6658">
                  <w:pPr>
                    <w:pStyle w:val="NormalWeb"/>
                    <w:spacing w:before="0" w:beforeAutospacing="0" w:after="0" w:afterAutospacing="0"/>
                    <w:jc w:val="both"/>
                  </w:pPr>
                  <w:r>
                    <w:rPr>
                      <w:rFonts w:ascii="Arial" w:hAnsi="Arial" w:cs="Arial"/>
                      <w:b/>
                      <w:bCs/>
                      <w:color w:val="000000"/>
                      <w:sz w:val="20"/>
                      <w:szCs w:val="20"/>
                    </w:rPr>
                    <w:t>Genus demarcation criteria:</w:t>
                  </w:r>
                </w:p>
                <w:p w14:paraId="4212192A" w14:textId="77777777" w:rsidR="002F6658" w:rsidRDefault="002F6658" w:rsidP="002F6658">
                  <w:pPr>
                    <w:pStyle w:val="NormalWeb"/>
                    <w:spacing w:before="0" w:beforeAutospacing="0" w:after="0" w:afterAutospacing="0"/>
                    <w:jc w:val="both"/>
                  </w:pPr>
                  <w:r>
                    <w:rPr>
                      <w:rFonts w:ascii="Arial" w:hAnsi="Arial" w:cs="Arial"/>
                      <w:color w:val="000000"/>
                      <w:sz w:val="20"/>
                      <w:szCs w:val="20"/>
                    </w:rPr>
                    <w:t xml:space="preserve">The proposed genera were defined based on clustering using a threshold with an average nucleotide identity (ANI) of 70% over their full genome length </w:t>
                  </w:r>
                  <w:hyperlink r:id="rId10" w:history="1">
                    <w:r>
                      <w:rPr>
                        <w:rStyle w:val="Hyperlink"/>
                        <w:rFonts w:ascii="Arial" w:hAnsi="Arial" w:cs="Arial"/>
                        <w:color w:val="000000"/>
                        <w:sz w:val="20"/>
                        <w:szCs w:val="20"/>
                      </w:rPr>
                      <w:t>[1]</w:t>
                    </w:r>
                  </w:hyperlink>
                  <w:r>
                    <w:rPr>
                      <w:rFonts w:ascii="Arial" w:hAnsi="Arial" w:cs="Arial"/>
                      <w:color w:val="000000"/>
                      <w:sz w:val="20"/>
                      <w:szCs w:val="20"/>
                    </w:rPr>
                    <w:t>.</w:t>
                  </w:r>
                </w:p>
                <w:p w14:paraId="4B5C2E55" w14:textId="77777777" w:rsidR="002F6658" w:rsidRDefault="002F6658" w:rsidP="002F6658">
                  <w:pPr>
                    <w:pStyle w:val="NormalWeb"/>
                    <w:spacing w:before="0" w:beforeAutospacing="0" w:after="0" w:afterAutospacing="0"/>
                    <w:jc w:val="both"/>
                  </w:pPr>
                  <w:r>
                    <w:rPr>
                      <w:rFonts w:ascii="Arial" w:hAnsi="Arial" w:cs="Arial"/>
                      <w:color w:val="0000FF"/>
                      <w:sz w:val="22"/>
                      <w:szCs w:val="22"/>
                    </w:rPr>
                    <w:t> </w:t>
                  </w:r>
                </w:p>
                <w:p w14:paraId="2A6A570F" w14:textId="77777777" w:rsidR="002F6658" w:rsidRDefault="002F6658" w:rsidP="002F6658">
                  <w:pPr>
                    <w:pStyle w:val="NormalWeb"/>
                    <w:spacing w:before="0" w:beforeAutospacing="0" w:after="0" w:afterAutospacing="0"/>
                    <w:jc w:val="both"/>
                  </w:pPr>
                  <w:r>
                    <w:rPr>
                      <w:rFonts w:ascii="Arial" w:hAnsi="Arial" w:cs="Arial"/>
                      <w:b/>
                      <w:bCs/>
                      <w:color w:val="000000"/>
                      <w:sz w:val="20"/>
                      <w:szCs w:val="20"/>
                    </w:rPr>
                    <w:t>Species demarcation criteria:</w:t>
                  </w:r>
                </w:p>
                <w:p w14:paraId="4C9AAEAB" w14:textId="77777777" w:rsidR="002F6658" w:rsidRDefault="002F6658" w:rsidP="002F6658">
                  <w:r>
                    <w:rPr>
                      <w:rFonts w:ascii="Arial" w:hAnsi="Arial" w:cs="Arial"/>
                      <w:color w:val="000000"/>
                      <w:sz w:val="20"/>
                      <w:szCs w:val="20"/>
                    </w:rPr>
                    <w:t xml:space="preserve">The proposed species were defined based on clustering using a threshold with an ANI of &gt;95% over their full genome length </w:t>
                  </w:r>
                  <w:hyperlink r:id="rId11" w:history="1">
                    <w:r>
                      <w:rPr>
                        <w:rStyle w:val="Hyperlink"/>
                        <w:rFonts w:ascii="Arial" w:hAnsi="Arial" w:cs="Arial"/>
                        <w:color w:val="000000"/>
                        <w:sz w:val="20"/>
                        <w:szCs w:val="20"/>
                      </w:rPr>
                      <w:t>[1]</w:t>
                    </w:r>
                  </w:hyperlink>
                  <w:r>
                    <w:rPr>
                      <w:rFonts w:ascii="Arial" w:hAnsi="Arial" w:cs="Arial"/>
                      <w:color w:val="000000"/>
                      <w:sz w:val="20"/>
                      <w:szCs w:val="20"/>
                    </w:rPr>
                    <w:t>.</w:t>
                  </w:r>
                </w:p>
                <w:p w14:paraId="65917C70" w14:textId="77777777" w:rsidR="00A174CC" w:rsidRDefault="00A174CC" w:rsidP="000C12FB">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5BCE80E" w14:textId="77777777" w:rsidR="008618EC" w:rsidRDefault="008618EC">
      <w:pPr>
        <w:pStyle w:val="BodyTextIndent"/>
        <w:spacing w:before="120" w:after="120"/>
        <w:ind w:left="0" w:firstLine="0"/>
        <w:rPr>
          <w:rFonts w:ascii="Arial" w:hAnsi="Arial" w:cs="Arial"/>
          <w:b/>
          <w:color w:val="000000"/>
          <w:szCs w:val="24"/>
        </w:rPr>
      </w:pPr>
    </w:p>
    <w:p w14:paraId="435E4D19" w14:textId="77777777" w:rsidR="006568B9" w:rsidRDefault="006568B9">
      <w:pPr>
        <w:rPr>
          <w:rFonts w:ascii="Arial" w:eastAsia="Times" w:hAnsi="Arial" w:cs="Arial"/>
          <w:b/>
          <w:color w:val="000000"/>
          <w:lang w:eastAsia="en-GB"/>
        </w:rPr>
      </w:pPr>
      <w:r>
        <w:rPr>
          <w:rFonts w:ascii="Arial" w:hAnsi="Arial" w:cs="Arial"/>
          <w:b/>
          <w:color w:val="000000"/>
        </w:rPr>
        <w:br w:type="page"/>
      </w:r>
    </w:p>
    <w:p w14:paraId="6B5315D2" w14:textId="4535FE0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35179A04" w14:textId="77777777" w:rsidR="0015730D" w:rsidRDefault="0015730D" w:rsidP="0015730D">
      <w:pPr>
        <w:jc w:val="both"/>
      </w:pPr>
      <w:r>
        <w:rPr>
          <w:rFonts w:ascii="Arial" w:hAnsi="Arial" w:cs="Arial"/>
          <w:color w:val="000000"/>
          <w:sz w:val="20"/>
          <w:szCs w:val="20"/>
        </w:rPr>
        <w:t xml:space="preserve">In a large-scale metagenomic analysis of the human gut microbiome (n = 4,198) </w:t>
      </w:r>
      <w:hyperlink r:id="rId12" w:history="1">
        <w:r>
          <w:rPr>
            <w:rStyle w:val="Hyperlink"/>
            <w:rFonts w:ascii="Arial" w:hAnsi="Arial" w:cs="Arial"/>
            <w:color w:val="000000"/>
            <w:sz w:val="20"/>
            <w:szCs w:val="20"/>
            <w:u w:val="none"/>
          </w:rPr>
          <w:t>[2]</w:t>
        </w:r>
      </w:hyperlink>
      <w:r>
        <w:rPr>
          <w:rFonts w:ascii="Arial" w:hAnsi="Arial" w:cs="Arial"/>
          <w:color w:val="000000"/>
          <w:sz w:val="20"/>
          <w:szCs w:val="20"/>
        </w:rPr>
        <w:t>, we obtained 228 high-quality phage genomes (</w:t>
      </w:r>
      <w:proofErr w:type="spellStart"/>
      <w:r>
        <w:rPr>
          <w:rFonts w:ascii="Arial" w:hAnsi="Arial" w:cs="Arial"/>
          <w:color w:val="000000"/>
          <w:sz w:val="20"/>
          <w:szCs w:val="20"/>
        </w:rPr>
        <w:t>checkV</w:t>
      </w:r>
      <w:proofErr w:type="spellEnd"/>
      <w:r>
        <w:rPr>
          <w:rFonts w:ascii="Arial" w:hAnsi="Arial" w:cs="Arial"/>
          <w:color w:val="000000"/>
          <w:sz w:val="20"/>
          <w:szCs w:val="20"/>
        </w:rPr>
        <w:t xml:space="preserve"> </w:t>
      </w:r>
      <w:hyperlink r:id="rId13" w:history="1">
        <w:r>
          <w:rPr>
            <w:rStyle w:val="Hyperlink"/>
            <w:rFonts w:ascii="Arial" w:hAnsi="Arial" w:cs="Arial"/>
            <w:color w:val="000000"/>
            <w:sz w:val="20"/>
            <w:szCs w:val="20"/>
            <w:u w:val="none"/>
          </w:rPr>
          <w:t>[3]</w:t>
        </w:r>
      </w:hyperlink>
      <w:r>
        <w:rPr>
          <w:rFonts w:ascii="Arial" w:hAnsi="Arial" w:cs="Arial"/>
          <w:color w:val="000000"/>
          <w:sz w:val="20"/>
          <w:szCs w:val="20"/>
        </w:rPr>
        <w:t xml:space="preserve"> completeness &gt; 70% and contamination &lt; 10%) which shared similar genomic structure and gene homologues among them. Of the 228 genomes, five genomes had terminal redundancy (&gt;97% identity over 70 bp), which is a hallmark for a complete phage genome. The genome sizes ranged from 45.0 to 73.8k bp, GC content varying between 40.2 to 52.2%, and they showed no sequence similarity to known phage genomes in GenBank at the nucleotide level (&lt;95% average nucleotide identity). Clustering of these genomes with a 95% ANI threshold resulted in 13 viral operational taxonomic units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where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included the complete phage genomes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2, 4, and 8). These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with complete genomes had &lt;70% ANIs to each other, the threshold to define phage genera </w:t>
      </w:r>
      <w:hyperlink r:id="rId14" w:history="1">
        <w:r>
          <w:rPr>
            <w:rStyle w:val="Hyperlink"/>
            <w:rFonts w:ascii="Arial" w:hAnsi="Arial" w:cs="Arial"/>
            <w:color w:val="000000"/>
            <w:sz w:val="20"/>
            <w:szCs w:val="20"/>
            <w:u w:val="none"/>
          </w:rPr>
          <w:t>[1]</w:t>
        </w:r>
      </w:hyperlink>
      <w:r>
        <w:rPr>
          <w:rFonts w:ascii="Arial" w:hAnsi="Arial" w:cs="Arial"/>
          <w:color w:val="000000"/>
          <w:sz w:val="20"/>
          <w:szCs w:val="20"/>
        </w:rPr>
        <w:t>, suggesting that they belong to different genera. Therefore, we propose these phages as one new family (</w:t>
      </w:r>
      <w:proofErr w:type="spellStart"/>
      <w:r>
        <w:rPr>
          <w:rFonts w:ascii="Arial" w:hAnsi="Arial" w:cs="Arial"/>
          <w:i/>
          <w:iCs/>
          <w:color w:val="000000"/>
          <w:sz w:val="20"/>
          <w:szCs w:val="20"/>
        </w:rPr>
        <w:t>Toyamaviridae</w:t>
      </w:r>
      <w:proofErr w:type="spellEnd"/>
      <w:r>
        <w:rPr>
          <w:rFonts w:ascii="Arial" w:hAnsi="Arial" w:cs="Arial"/>
          <w:color w:val="000000"/>
          <w:sz w:val="20"/>
          <w:szCs w:val="20"/>
        </w:rPr>
        <w:t>), three genera, and three species (</w:t>
      </w:r>
      <w:proofErr w:type="spellStart"/>
      <w:r>
        <w:rPr>
          <w:rFonts w:ascii="Arial" w:hAnsi="Arial" w:cs="Arial"/>
          <w:i/>
          <w:iCs/>
          <w:color w:val="000000"/>
          <w:sz w:val="20"/>
          <w:szCs w:val="20"/>
        </w:rPr>
        <w:t>Ushigomevirus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gakusyuin</w:t>
      </w:r>
      <w:proofErr w:type="spellEnd"/>
      <w:r>
        <w:rPr>
          <w:rFonts w:ascii="Arial" w:hAnsi="Arial" w:cs="Arial"/>
          <w:color w:val="000000"/>
          <w:sz w:val="20"/>
          <w:szCs w:val="20"/>
        </w:rPr>
        <w:t xml:space="preserve">, </w:t>
      </w:r>
      <w:proofErr w:type="spellStart"/>
      <w:r>
        <w:rPr>
          <w:rFonts w:ascii="Arial" w:hAnsi="Arial" w:cs="Arial"/>
          <w:i/>
          <w:iCs/>
          <w:color w:val="000000"/>
          <w:sz w:val="20"/>
          <w:szCs w:val="20"/>
        </w:rPr>
        <w:t>Wadatovirus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soudai</w:t>
      </w:r>
      <w:proofErr w:type="spellEnd"/>
      <w:r>
        <w:rPr>
          <w:rFonts w:ascii="Arial" w:hAnsi="Arial" w:cs="Arial"/>
          <w:color w:val="000000"/>
          <w:sz w:val="20"/>
          <w:szCs w:val="20"/>
        </w:rPr>
        <w:t xml:space="preserve">, and </w:t>
      </w:r>
      <w:proofErr w:type="spellStart"/>
      <w:r>
        <w:rPr>
          <w:rFonts w:ascii="Arial" w:hAnsi="Arial" w:cs="Arial"/>
          <w:i/>
          <w:iCs/>
          <w:color w:val="000000"/>
          <w:sz w:val="20"/>
          <w:szCs w:val="20"/>
        </w:rPr>
        <w:t>Totsukavirus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waseda</w:t>
      </w:r>
      <w:proofErr w:type="spellEnd"/>
      <w:r>
        <w:rPr>
          <w:rFonts w:ascii="Arial" w:hAnsi="Arial" w:cs="Arial"/>
          <w:color w:val="000000"/>
          <w:sz w:val="20"/>
          <w:szCs w:val="20"/>
        </w:rPr>
        <w:t xml:space="preserve">) in this proposal. In the following analysis, we analyzed these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with complete genomes as well as the other 10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that include only incomplete genomes to demonstrate that they were quite different from other known phages. A representative genomic structure of a proposed species, </w:t>
      </w:r>
      <w:proofErr w:type="spellStart"/>
      <w:r>
        <w:rPr>
          <w:rFonts w:ascii="Arial" w:hAnsi="Arial" w:cs="Arial"/>
          <w:i/>
          <w:iCs/>
          <w:color w:val="000000"/>
          <w:sz w:val="20"/>
          <w:szCs w:val="20"/>
        </w:rPr>
        <w:t>Totsukavirus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waseda</w:t>
      </w:r>
      <w:proofErr w:type="spellEnd"/>
      <w:r>
        <w:rPr>
          <w:rFonts w:ascii="Arial" w:hAnsi="Arial" w:cs="Arial"/>
          <w:color w:val="000000"/>
          <w:sz w:val="20"/>
          <w:szCs w:val="20"/>
        </w:rPr>
        <w:t>, is shown in Figure 1.</w:t>
      </w:r>
    </w:p>
    <w:p w14:paraId="41C23D70" w14:textId="77777777" w:rsidR="008618EC" w:rsidRDefault="008618EC" w:rsidP="008618EC">
      <w:pPr>
        <w:rPr>
          <w:rFonts w:ascii="Arial" w:hAnsi="Arial" w:cs="Arial"/>
          <w:b/>
          <w:sz w:val="22"/>
          <w:szCs w:val="22"/>
        </w:rPr>
      </w:pPr>
    </w:p>
    <w:p w14:paraId="53BBBCFD" w14:textId="3052EC3F" w:rsidR="008618EC" w:rsidRDefault="000A021A" w:rsidP="008618EC">
      <w:pPr>
        <w:rPr>
          <w:rFonts w:ascii="Arial" w:hAnsi="Arial" w:cs="Arial"/>
          <w:b/>
          <w:sz w:val="22"/>
          <w:szCs w:val="22"/>
        </w:rPr>
      </w:pPr>
      <w:r>
        <w:rPr>
          <w:rFonts w:ascii="Arial" w:hAnsi="Arial" w:cs="Arial"/>
          <w:b/>
          <w:noProof/>
          <w:sz w:val="22"/>
          <w:szCs w:val="22"/>
        </w:rPr>
        <w:drawing>
          <wp:inline distT="0" distB="0" distL="0" distR="0" wp14:anchorId="783DF171" wp14:editId="3F4F7377">
            <wp:extent cx="5731510" cy="300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3003550"/>
                    </a:xfrm>
                    <a:prstGeom prst="rect">
                      <a:avLst/>
                    </a:prstGeom>
                  </pic:spPr>
                </pic:pic>
              </a:graphicData>
            </a:graphic>
          </wp:inline>
        </w:drawing>
      </w:r>
    </w:p>
    <w:p w14:paraId="6097B4B8" w14:textId="77777777" w:rsidR="0015730D" w:rsidRPr="00722830" w:rsidRDefault="0015730D" w:rsidP="0015730D">
      <w:pPr>
        <w:jc w:val="both"/>
        <w:rPr>
          <w:sz w:val="16"/>
          <w:szCs w:val="16"/>
        </w:rPr>
      </w:pPr>
      <w:r w:rsidRPr="00722830">
        <w:rPr>
          <w:rFonts w:ascii="Arial" w:hAnsi="Arial" w:cs="Arial"/>
          <w:b/>
          <w:bCs/>
          <w:color w:val="000000"/>
          <w:sz w:val="16"/>
          <w:szCs w:val="16"/>
        </w:rPr>
        <w:t>Figure 1:</w:t>
      </w:r>
      <w:r w:rsidRPr="00722830">
        <w:rPr>
          <w:rFonts w:ascii="Arial" w:hAnsi="Arial" w:cs="Arial"/>
          <w:color w:val="000000"/>
          <w:sz w:val="16"/>
          <w:szCs w:val="16"/>
        </w:rPr>
        <w:t xml:space="preserve"> Genome map of the representative phage in </w:t>
      </w:r>
      <w:proofErr w:type="spellStart"/>
      <w:r w:rsidRPr="00722830">
        <w:rPr>
          <w:rFonts w:ascii="Arial" w:hAnsi="Arial" w:cs="Arial"/>
          <w:i/>
          <w:iCs/>
          <w:color w:val="000000"/>
          <w:sz w:val="16"/>
          <w:szCs w:val="16"/>
        </w:rPr>
        <w:t>Toyamaviridae</w:t>
      </w:r>
      <w:proofErr w:type="spellEnd"/>
      <w:r w:rsidRPr="00722830">
        <w:rPr>
          <w:rFonts w:ascii="Arial" w:hAnsi="Arial" w:cs="Arial"/>
          <w:color w:val="000000"/>
          <w:sz w:val="16"/>
          <w:szCs w:val="16"/>
        </w:rPr>
        <w:t xml:space="preserve">. From inner to outer, the circles represent GC skew (green for positive and orange for negative), GC content, hit to CRISPR spacer, the strand of encoded genes (blue and yellow for positive and negative strand, respectively), and functional category of the genes annotated by the </w:t>
      </w:r>
      <w:proofErr w:type="spellStart"/>
      <w:r w:rsidRPr="00722830">
        <w:rPr>
          <w:rFonts w:ascii="Arial" w:hAnsi="Arial" w:cs="Arial"/>
          <w:color w:val="000000"/>
          <w:sz w:val="16"/>
          <w:szCs w:val="16"/>
        </w:rPr>
        <w:t>eggNOG</w:t>
      </w:r>
      <w:proofErr w:type="spellEnd"/>
      <w:r w:rsidRPr="00722830">
        <w:rPr>
          <w:rFonts w:ascii="Arial" w:hAnsi="Arial" w:cs="Arial"/>
          <w:color w:val="000000"/>
          <w:sz w:val="16"/>
          <w:szCs w:val="16"/>
        </w:rPr>
        <w:t xml:space="preserve"> mapper </w:t>
      </w:r>
      <w:hyperlink r:id="rId16" w:history="1">
        <w:r w:rsidRPr="00722830">
          <w:rPr>
            <w:rStyle w:val="Hyperlink"/>
            <w:rFonts w:ascii="Arial" w:hAnsi="Arial" w:cs="Arial"/>
            <w:color w:val="000000"/>
            <w:sz w:val="16"/>
            <w:szCs w:val="16"/>
            <w:u w:val="none"/>
          </w:rPr>
          <w:t>[4]</w:t>
        </w:r>
      </w:hyperlink>
      <w:r w:rsidRPr="00722830">
        <w:rPr>
          <w:rFonts w:ascii="Arial" w:hAnsi="Arial" w:cs="Arial"/>
          <w:color w:val="000000"/>
          <w:sz w:val="16"/>
          <w:szCs w:val="16"/>
        </w:rPr>
        <w:t>.</w:t>
      </w: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1FDA5B5" w14:textId="57BAB3CF" w:rsidR="008618EC" w:rsidRDefault="008618EC">
      <w:pPr>
        <w:rPr>
          <w:rFonts w:ascii="Arial" w:hAnsi="Arial" w:cs="Arial"/>
          <w:b/>
          <w:sz w:val="20"/>
          <w:szCs w:val="20"/>
        </w:rPr>
      </w:pPr>
      <w:r>
        <w:rPr>
          <w:rFonts w:ascii="Arial" w:hAnsi="Arial" w:cs="Arial"/>
          <w:b/>
          <w:sz w:val="20"/>
          <w:szCs w:val="20"/>
        </w:rPr>
        <w:br w:type="page"/>
      </w:r>
      <w:r w:rsidR="009C06B7">
        <w:rPr>
          <w:rFonts w:ascii="Arial" w:hAnsi="Arial" w:cs="Arial"/>
          <w:b/>
          <w:noProof/>
          <w:sz w:val="20"/>
          <w:szCs w:val="20"/>
        </w:rPr>
        <w:lastRenderedPageBreak/>
        <w:drawing>
          <wp:inline distT="0" distB="0" distL="0" distR="0" wp14:anchorId="3090F673" wp14:editId="61402633">
            <wp:extent cx="5731510" cy="3951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951605"/>
                    </a:xfrm>
                    <a:prstGeom prst="rect">
                      <a:avLst/>
                    </a:prstGeom>
                  </pic:spPr>
                </pic:pic>
              </a:graphicData>
            </a:graphic>
          </wp:inline>
        </w:drawing>
      </w:r>
    </w:p>
    <w:p w14:paraId="3B7A0DC1" w14:textId="6C1E8C49" w:rsidR="008618EC" w:rsidRPr="005464D4" w:rsidRDefault="008618EC" w:rsidP="008618EC">
      <w:pPr>
        <w:jc w:val="both"/>
        <w:rPr>
          <w:rFonts w:ascii="Arial" w:hAnsi="Arial" w:cs="Arial"/>
          <w:b/>
          <w:sz w:val="20"/>
          <w:szCs w:val="20"/>
        </w:rPr>
      </w:pPr>
    </w:p>
    <w:p w14:paraId="4E89BA5D" w14:textId="77777777" w:rsidR="002116AA" w:rsidRPr="002116AA" w:rsidRDefault="002116AA" w:rsidP="002116AA">
      <w:pPr>
        <w:pStyle w:val="NormalWeb"/>
        <w:spacing w:before="0" w:beforeAutospacing="0" w:after="0" w:afterAutospacing="0"/>
        <w:jc w:val="both"/>
        <w:rPr>
          <w:sz w:val="21"/>
          <w:szCs w:val="21"/>
        </w:rPr>
      </w:pPr>
      <w:r w:rsidRPr="002116AA">
        <w:rPr>
          <w:rFonts w:ascii="Arial" w:hAnsi="Arial" w:cs="Arial"/>
          <w:b/>
          <w:bCs/>
          <w:color w:val="000000"/>
          <w:sz w:val="16"/>
          <w:szCs w:val="16"/>
        </w:rPr>
        <w:t>Figure 2:</w:t>
      </w:r>
      <w:r w:rsidRPr="002116AA">
        <w:rPr>
          <w:rFonts w:ascii="Arial" w:hAnsi="Arial" w:cs="Arial"/>
          <w:color w:val="000000"/>
          <w:sz w:val="16"/>
          <w:szCs w:val="16"/>
        </w:rPr>
        <w:t xml:space="preserve"> The gene-sharing network was constructed using vConTACT2 including all known phages in GenBank (n = 55,804) and our phages. The obtained network was visualized by </w:t>
      </w:r>
      <w:proofErr w:type="spellStart"/>
      <w:r w:rsidRPr="002116AA">
        <w:rPr>
          <w:rFonts w:ascii="Arial" w:hAnsi="Arial" w:cs="Arial"/>
          <w:color w:val="000000"/>
          <w:sz w:val="16"/>
          <w:szCs w:val="16"/>
        </w:rPr>
        <w:t>Cytoscape</w:t>
      </w:r>
      <w:proofErr w:type="spellEnd"/>
      <w:r w:rsidRPr="002116AA">
        <w:rPr>
          <w:rFonts w:ascii="Arial" w:hAnsi="Arial" w:cs="Arial"/>
          <w:color w:val="000000"/>
          <w:sz w:val="16"/>
          <w:szCs w:val="16"/>
        </w:rPr>
        <w:t xml:space="preserve"> with the default option. Blue and yellow colors represent known and our phages, respectively.</w:t>
      </w:r>
    </w:p>
    <w:p w14:paraId="14BF5243" w14:textId="261BDC62" w:rsidR="002116AA" w:rsidRDefault="002116AA" w:rsidP="002116AA">
      <w:pPr>
        <w:jc w:val="both"/>
      </w:pPr>
      <w:r>
        <w:br/>
      </w:r>
      <w:r>
        <w:rPr>
          <w:rFonts w:ascii="Arial" w:hAnsi="Arial" w:cs="Arial"/>
          <w:color w:val="000000"/>
          <w:sz w:val="20"/>
          <w:szCs w:val="20"/>
        </w:rPr>
        <w:t xml:space="preserve">To determine whether the phages belong to any existing viral group, we conducted a gene-sharing network analysis using vConTACT2 </w:t>
      </w:r>
      <w:hyperlink r:id="rId18" w:history="1">
        <w:r>
          <w:rPr>
            <w:rStyle w:val="Hyperlink"/>
            <w:rFonts w:ascii="Arial" w:hAnsi="Arial" w:cs="Arial"/>
            <w:color w:val="000000"/>
            <w:sz w:val="20"/>
            <w:szCs w:val="20"/>
          </w:rPr>
          <w:t>[5]</w:t>
        </w:r>
      </w:hyperlink>
      <w:r>
        <w:rPr>
          <w:rFonts w:ascii="Arial" w:hAnsi="Arial" w:cs="Arial"/>
          <w:color w:val="000000"/>
          <w:sz w:val="20"/>
          <w:szCs w:val="20"/>
        </w:rPr>
        <w:t xml:space="preserve"> together with all viral sequences in GenBank (n = 55,804). The obtained network clearly revealed a distinct cluster of the 13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separate from other known phages (Figure 2). Although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had edges with known phages, the edge weight (1.0–3.5) was substantially lower than the average edge weight within the cluster (73.0). </w:t>
      </w:r>
    </w:p>
    <w:p w14:paraId="76A9410A" w14:textId="77777777" w:rsidR="00595DF0" w:rsidRPr="00595DF0" w:rsidRDefault="00595DF0" w:rsidP="00595DF0">
      <w:pPr>
        <w:rPr>
          <w:lang w:eastAsia="ja-JP"/>
        </w:rPr>
      </w:pPr>
    </w:p>
    <w:p w14:paraId="7D9013D2" w14:textId="77777777" w:rsidR="00A174CC" w:rsidRDefault="00A174CC">
      <w:pPr>
        <w:rPr>
          <w:rFonts w:ascii="Arial" w:hAnsi="Arial" w:cs="Arial"/>
          <w:b/>
          <w:sz w:val="22"/>
          <w:szCs w:val="22"/>
        </w:rPr>
      </w:pPr>
    </w:p>
    <w:p w14:paraId="0D6435AA" w14:textId="6710164C" w:rsidR="008618EC" w:rsidRPr="009C06B7" w:rsidRDefault="008618EC" w:rsidP="009C06B7">
      <w:pPr>
        <w:rPr>
          <w:rFonts w:ascii="Arial" w:hAnsi="Arial" w:cs="Arial"/>
          <w:b/>
          <w:sz w:val="20"/>
          <w:szCs w:val="20"/>
        </w:rPr>
      </w:pPr>
      <w:r>
        <w:rPr>
          <w:rFonts w:ascii="Arial" w:hAnsi="Arial" w:cs="Arial"/>
          <w:b/>
          <w:sz w:val="20"/>
          <w:szCs w:val="20"/>
        </w:rPr>
        <w:br w:type="page"/>
      </w:r>
    </w:p>
    <w:p w14:paraId="1674EABB" w14:textId="083D9BD3" w:rsidR="00595DF0" w:rsidRDefault="002350BA">
      <w:pPr>
        <w:rPr>
          <w:rFonts w:ascii="Arial" w:hAnsi="Arial" w:cs="Arial"/>
          <w:b/>
        </w:rPr>
      </w:pPr>
      <w:r>
        <w:rPr>
          <w:rFonts w:ascii="Arial" w:hAnsi="Arial" w:cs="Arial"/>
          <w:b/>
          <w:noProof/>
        </w:rPr>
        <w:lastRenderedPageBreak/>
        <w:drawing>
          <wp:inline distT="0" distB="0" distL="0" distR="0" wp14:anchorId="3E8F972A" wp14:editId="686A7E46">
            <wp:extent cx="5731510" cy="50838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5083810"/>
                    </a:xfrm>
                    <a:prstGeom prst="rect">
                      <a:avLst/>
                    </a:prstGeom>
                  </pic:spPr>
                </pic:pic>
              </a:graphicData>
            </a:graphic>
          </wp:inline>
        </w:drawing>
      </w:r>
    </w:p>
    <w:p w14:paraId="6B9F909A" w14:textId="77777777" w:rsidR="002350BA" w:rsidRDefault="002350BA" w:rsidP="002350BA">
      <w:pPr>
        <w:pStyle w:val="NormalWeb"/>
        <w:spacing w:before="0" w:beforeAutospacing="0" w:after="0" w:afterAutospacing="0"/>
        <w:jc w:val="both"/>
        <w:rPr>
          <w:rFonts w:ascii="Arial" w:hAnsi="Arial" w:cs="Arial"/>
          <w:b/>
          <w:bCs/>
          <w:color w:val="000000"/>
          <w:sz w:val="16"/>
          <w:szCs w:val="16"/>
        </w:rPr>
      </w:pPr>
    </w:p>
    <w:p w14:paraId="4069768E" w14:textId="3755A4C9" w:rsidR="002350BA" w:rsidRPr="002350BA" w:rsidRDefault="002350BA" w:rsidP="002350BA">
      <w:pPr>
        <w:pStyle w:val="NormalWeb"/>
        <w:spacing w:before="0" w:beforeAutospacing="0" w:after="0" w:afterAutospacing="0"/>
        <w:jc w:val="both"/>
        <w:rPr>
          <w:sz w:val="16"/>
          <w:szCs w:val="16"/>
        </w:rPr>
      </w:pPr>
      <w:r w:rsidRPr="002350BA">
        <w:rPr>
          <w:rFonts w:ascii="Arial" w:hAnsi="Arial" w:cs="Arial"/>
          <w:b/>
          <w:bCs/>
          <w:color w:val="000000"/>
          <w:sz w:val="16"/>
          <w:szCs w:val="16"/>
        </w:rPr>
        <w:t>Figure 3:</w:t>
      </w:r>
      <w:r w:rsidRPr="002350BA">
        <w:rPr>
          <w:rFonts w:ascii="Arial" w:hAnsi="Arial" w:cs="Arial"/>
          <w:color w:val="000000"/>
          <w:sz w:val="16"/>
          <w:szCs w:val="16"/>
        </w:rPr>
        <w:t xml:space="preserve"> Percentages of shared proteins between phages. Red and blue colors in the heatmap show higher and lower percentages of shared protein clusters between the two phages. In addition to </w:t>
      </w:r>
      <w:proofErr w:type="spellStart"/>
      <w:r w:rsidRPr="002350BA">
        <w:rPr>
          <w:rFonts w:ascii="Arial" w:hAnsi="Arial" w:cs="Arial"/>
          <w:i/>
          <w:iCs/>
          <w:color w:val="000000"/>
          <w:sz w:val="16"/>
          <w:szCs w:val="16"/>
        </w:rPr>
        <w:t>Toyamaviridae</w:t>
      </w:r>
      <w:proofErr w:type="spellEnd"/>
      <w:r w:rsidRPr="002350BA">
        <w:rPr>
          <w:rFonts w:ascii="Arial" w:hAnsi="Arial" w:cs="Arial"/>
          <w:color w:val="000000"/>
          <w:sz w:val="16"/>
          <w:szCs w:val="16"/>
        </w:rPr>
        <w:t xml:space="preserve">, 98 known phages in GenBank, which encoded large </w:t>
      </w:r>
      <w:proofErr w:type="spellStart"/>
      <w:r w:rsidRPr="002350BA">
        <w:rPr>
          <w:rFonts w:ascii="Arial" w:hAnsi="Arial" w:cs="Arial"/>
          <w:color w:val="000000"/>
          <w:sz w:val="16"/>
          <w:szCs w:val="16"/>
        </w:rPr>
        <w:t>terminase</w:t>
      </w:r>
      <w:proofErr w:type="spellEnd"/>
      <w:r w:rsidRPr="002350BA">
        <w:rPr>
          <w:rFonts w:ascii="Arial" w:hAnsi="Arial" w:cs="Arial"/>
          <w:color w:val="000000"/>
          <w:sz w:val="16"/>
          <w:szCs w:val="16"/>
        </w:rPr>
        <w:t xml:space="preserve"> homologues of </w:t>
      </w:r>
      <w:proofErr w:type="spellStart"/>
      <w:r w:rsidRPr="002350BA">
        <w:rPr>
          <w:rFonts w:ascii="Arial" w:hAnsi="Arial" w:cs="Arial"/>
          <w:i/>
          <w:iCs/>
          <w:color w:val="000000"/>
          <w:sz w:val="16"/>
          <w:szCs w:val="16"/>
        </w:rPr>
        <w:t>Toyamaviridae</w:t>
      </w:r>
      <w:proofErr w:type="spellEnd"/>
      <w:r w:rsidRPr="002350BA">
        <w:rPr>
          <w:rFonts w:ascii="Arial" w:hAnsi="Arial" w:cs="Arial"/>
          <w:color w:val="000000"/>
          <w:sz w:val="16"/>
          <w:szCs w:val="16"/>
        </w:rPr>
        <w:t xml:space="preserve"> (DIAMOND </w:t>
      </w:r>
      <w:hyperlink r:id="rId20" w:history="1">
        <w:r w:rsidRPr="002350BA">
          <w:rPr>
            <w:rStyle w:val="Hyperlink"/>
            <w:rFonts w:ascii="Arial" w:hAnsi="Arial" w:cs="Arial"/>
            <w:color w:val="000000"/>
            <w:sz w:val="16"/>
            <w:szCs w:val="16"/>
          </w:rPr>
          <w:t>[6]</w:t>
        </w:r>
      </w:hyperlink>
      <w:r w:rsidRPr="002350BA">
        <w:rPr>
          <w:rFonts w:ascii="Arial" w:hAnsi="Arial" w:cs="Arial"/>
          <w:color w:val="000000"/>
          <w:sz w:val="16"/>
          <w:szCs w:val="16"/>
        </w:rPr>
        <w:t xml:space="preserve"> with the default option), were included in this analysis. The protein clusters were defined as follows: first, we performed all-vs-all protein similarity searches of </w:t>
      </w:r>
      <w:proofErr w:type="spellStart"/>
      <w:r w:rsidRPr="002350BA">
        <w:rPr>
          <w:rFonts w:ascii="Arial" w:hAnsi="Arial" w:cs="Arial"/>
          <w:i/>
          <w:iCs/>
          <w:color w:val="000000"/>
          <w:sz w:val="16"/>
          <w:szCs w:val="16"/>
        </w:rPr>
        <w:t>Toyamaviridae</w:t>
      </w:r>
      <w:proofErr w:type="spellEnd"/>
      <w:r w:rsidRPr="002350BA">
        <w:rPr>
          <w:rFonts w:ascii="Arial" w:hAnsi="Arial" w:cs="Arial"/>
          <w:color w:val="000000"/>
          <w:sz w:val="16"/>
          <w:szCs w:val="16"/>
        </w:rPr>
        <w:t xml:space="preserve"> phages and the known phages using DIAMOND. Then, protein clusters were defined based on the protein similarities using the Markov clustering algorithm using MCL </w:t>
      </w:r>
      <w:hyperlink r:id="rId21" w:history="1">
        <w:r w:rsidRPr="002350BA">
          <w:rPr>
            <w:rStyle w:val="Hyperlink"/>
            <w:rFonts w:ascii="Arial" w:hAnsi="Arial" w:cs="Arial"/>
            <w:color w:val="000000"/>
            <w:sz w:val="16"/>
            <w:szCs w:val="16"/>
          </w:rPr>
          <w:t>[7]</w:t>
        </w:r>
      </w:hyperlink>
      <w:r w:rsidRPr="002350BA">
        <w:rPr>
          <w:rFonts w:ascii="Arial" w:hAnsi="Arial" w:cs="Arial"/>
          <w:color w:val="000000"/>
          <w:sz w:val="16"/>
          <w:szCs w:val="16"/>
        </w:rPr>
        <w:t xml:space="preserve"> with the inflation factor of 2. The percentages of the shared protein clusters between two phages were calculated and they were visualized using the </w:t>
      </w:r>
      <w:proofErr w:type="spellStart"/>
      <w:r w:rsidRPr="002350BA">
        <w:rPr>
          <w:rFonts w:ascii="Arial" w:hAnsi="Arial" w:cs="Arial"/>
          <w:color w:val="000000"/>
          <w:sz w:val="16"/>
          <w:szCs w:val="16"/>
        </w:rPr>
        <w:t>pheatmap</w:t>
      </w:r>
      <w:proofErr w:type="spellEnd"/>
      <w:r w:rsidRPr="002350BA">
        <w:rPr>
          <w:rFonts w:ascii="Arial" w:hAnsi="Arial" w:cs="Arial"/>
          <w:color w:val="000000"/>
          <w:sz w:val="16"/>
          <w:szCs w:val="16"/>
        </w:rPr>
        <w:t xml:space="preserve"> function in R. The dendrogram on the heatmap was generated with the default parameters in the function.</w:t>
      </w:r>
    </w:p>
    <w:p w14:paraId="28F600ED" w14:textId="637B5F20" w:rsidR="002350BA" w:rsidRDefault="002350BA" w:rsidP="002350BA">
      <w:pPr>
        <w:jc w:val="both"/>
      </w:pPr>
      <w:r>
        <w:br/>
      </w:r>
      <w:r>
        <w:rPr>
          <w:rFonts w:ascii="Arial" w:hAnsi="Arial" w:cs="Arial"/>
          <w:color w:val="000000"/>
          <w:sz w:val="20"/>
          <w:szCs w:val="20"/>
        </w:rPr>
        <w:t xml:space="preserve">To further examine the relationships between our phages and known phages, we employed percentage of shared protein clusters, a method to assess viral clades relationships (Figure 3) </w:t>
      </w:r>
      <w:hyperlink r:id="rId22" w:history="1">
        <w:r>
          <w:rPr>
            <w:rStyle w:val="Hyperlink"/>
            <w:rFonts w:ascii="Arial" w:hAnsi="Arial" w:cs="Arial"/>
            <w:color w:val="000000"/>
            <w:sz w:val="20"/>
            <w:szCs w:val="20"/>
          </w:rPr>
          <w:t>[8]</w:t>
        </w:r>
      </w:hyperlink>
      <w:r>
        <w:rPr>
          <w:rFonts w:ascii="Arial" w:hAnsi="Arial" w:cs="Arial"/>
          <w:color w:val="000000"/>
          <w:sz w:val="20"/>
          <w:szCs w:val="20"/>
        </w:rPr>
        <w:t xml:space="preserve">. We defined protein clusters based on the Markov clustering algorithm with MCL (inflation factor of 2) </w:t>
      </w:r>
      <w:hyperlink r:id="rId23" w:history="1">
        <w:r>
          <w:rPr>
            <w:rStyle w:val="Hyperlink"/>
            <w:rFonts w:ascii="Arial" w:hAnsi="Arial" w:cs="Arial"/>
            <w:color w:val="000000"/>
            <w:sz w:val="20"/>
            <w:szCs w:val="20"/>
          </w:rPr>
          <w:t>[7]</w:t>
        </w:r>
      </w:hyperlink>
      <w:r>
        <w:rPr>
          <w:rFonts w:ascii="Arial" w:hAnsi="Arial" w:cs="Arial"/>
          <w:color w:val="000000"/>
          <w:sz w:val="20"/>
          <w:szCs w:val="20"/>
        </w:rPr>
        <w:t xml:space="preserve"> and calculated the pairwise percentage of shared clusters between two phages. The dendrogram based on these percentages distinctly revealed a cluster of our phages separate from other known phages. An average of 44.5% of proteins were shared within the family, while only 0.27% of proteins were shared with other known phages. </w:t>
      </w:r>
    </w:p>
    <w:p w14:paraId="5B86E209" w14:textId="77777777" w:rsidR="00630053" w:rsidRDefault="00630053" w:rsidP="00630053"/>
    <w:p w14:paraId="081D1DE5" w14:textId="77777777" w:rsidR="00630053" w:rsidRDefault="00630053" w:rsidP="00630053"/>
    <w:p w14:paraId="0398E1D1" w14:textId="77777777" w:rsidR="00595DF0" w:rsidRDefault="00595DF0" w:rsidP="00595DF0"/>
    <w:p w14:paraId="1AD4FE71" w14:textId="3F82C2B8" w:rsidR="008618EC" w:rsidRPr="009C06B7" w:rsidRDefault="008618EC">
      <w:pPr>
        <w:rPr>
          <w:rFonts w:ascii="Arial" w:hAnsi="Arial" w:cs="Arial"/>
          <w:b/>
          <w:sz w:val="20"/>
          <w:szCs w:val="20"/>
        </w:rPr>
      </w:pPr>
      <w:r>
        <w:rPr>
          <w:rFonts w:ascii="Arial" w:hAnsi="Arial" w:cs="Arial"/>
          <w:b/>
        </w:rPr>
        <w:br w:type="page"/>
      </w:r>
    </w:p>
    <w:p w14:paraId="1D1134B2" w14:textId="5BE9CE30" w:rsidR="00CF233E" w:rsidRDefault="00CF233E">
      <w:pPr>
        <w:rPr>
          <w:rFonts w:ascii="Arial" w:hAnsi="Arial" w:cs="Arial"/>
          <w:b/>
        </w:rPr>
      </w:pPr>
      <w:r>
        <w:rPr>
          <w:rFonts w:ascii="Arial" w:hAnsi="Arial" w:cs="Arial"/>
          <w:b/>
          <w:noProof/>
        </w:rPr>
        <w:lastRenderedPageBreak/>
        <w:drawing>
          <wp:inline distT="0" distB="0" distL="0" distR="0" wp14:anchorId="3397F25C" wp14:editId="71A08837">
            <wp:extent cx="5731510" cy="20631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063115"/>
                    </a:xfrm>
                    <a:prstGeom prst="rect">
                      <a:avLst/>
                    </a:prstGeom>
                  </pic:spPr>
                </pic:pic>
              </a:graphicData>
            </a:graphic>
          </wp:inline>
        </w:drawing>
      </w:r>
    </w:p>
    <w:p w14:paraId="24BC3146" w14:textId="77777777" w:rsidR="00CF233E" w:rsidRDefault="00CF233E">
      <w:pPr>
        <w:rPr>
          <w:rFonts w:ascii="Arial" w:hAnsi="Arial" w:cs="Arial"/>
          <w:b/>
        </w:rPr>
      </w:pPr>
    </w:p>
    <w:p w14:paraId="42DB3EE1" w14:textId="77777777" w:rsidR="002350BA" w:rsidRPr="00C11E87" w:rsidRDefault="002350BA" w:rsidP="002350BA">
      <w:pPr>
        <w:pStyle w:val="NormalWeb"/>
        <w:spacing w:before="0" w:beforeAutospacing="0" w:after="0" w:afterAutospacing="0"/>
        <w:jc w:val="both"/>
        <w:rPr>
          <w:sz w:val="16"/>
          <w:szCs w:val="16"/>
        </w:rPr>
      </w:pPr>
      <w:r w:rsidRPr="00C11E87">
        <w:rPr>
          <w:rFonts w:ascii="Arial" w:hAnsi="Arial" w:cs="Arial"/>
          <w:b/>
          <w:bCs/>
          <w:color w:val="000000"/>
          <w:sz w:val="16"/>
          <w:szCs w:val="16"/>
        </w:rPr>
        <w:t>Figure 4</w:t>
      </w:r>
      <w:r w:rsidRPr="00C11E87">
        <w:rPr>
          <w:rFonts w:ascii="Arial" w:hAnsi="Arial" w:cs="Arial"/>
          <w:color w:val="000000"/>
          <w:sz w:val="16"/>
          <w:szCs w:val="16"/>
        </w:rPr>
        <w:t xml:space="preserve">: Phylogenetic trees based on homologs of large </w:t>
      </w:r>
      <w:proofErr w:type="spellStart"/>
      <w:r w:rsidRPr="00C11E87">
        <w:rPr>
          <w:rFonts w:ascii="Arial" w:hAnsi="Arial" w:cs="Arial"/>
          <w:color w:val="000000"/>
          <w:sz w:val="16"/>
          <w:szCs w:val="16"/>
        </w:rPr>
        <w:t>terminase</w:t>
      </w:r>
      <w:proofErr w:type="spellEnd"/>
      <w:r w:rsidRPr="00C11E87">
        <w:rPr>
          <w:rFonts w:ascii="Arial" w:hAnsi="Arial" w:cs="Arial"/>
          <w:color w:val="000000"/>
          <w:sz w:val="16"/>
          <w:szCs w:val="16"/>
        </w:rPr>
        <w:t xml:space="preserve"> proteins (</w:t>
      </w:r>
      <w:r w:rsidRPr="00C11E87">
        <w:rPr>
          <w:rFonts w:ascii="Arial" w:hAnsi="Arial" w:cs="Arial"/>
          <w:b/>
          <w:bCs/>
          <w:color w:val="000000"/>
          <w:sz w:val="16"/>
          <w:szCs w:val="16"/>
        </w:rPr>
        <w:t>a</w:t>
      </w:r>
      <w:r w:rsidRPr="00C11E87">
        <w:rPr>
          <w:rFonts w:ascii="Arial" w:hAnsi="Arial" w:cs="Arial"/>
          <w:color w:val="000000"/>
          <w:sz w:val="16"/>
          <w:szCs w:val="16"/>
        </w:rPr>
        <w:t>) and portal proteins (</w:t>
      </w:r>
      <w:r w:rsidRPr="00C11E87">
        <w:rPr>
          <w:rFonts w:ascii="Arial" w:hAnsi="Arial" w:cs="Arial"/>
          <w:b/>
          <w:bCs/>
          <w:color w:val="000000"/>
          <w:sz w:val="16"/>
          <w:szCs w:val="16"/>
        </w:rPr>
        <w:t>b</w:t>
      </w:r>
      <w:r w:rsidRPr="00C11E87">
        <w:rPr>
          <w:rFonts w:ascii="Arial" w:hAnsi="Arial" w:cs="Arial"/>
          <w:color w:val="000000"/>
          <w:sz w:val="16"/>
          <w:szCs w:val="16"/>
        </w:rPr>
        <w:t xml:space="preserve">). The homologs of these proteins were searched in GenBank with DIAMOND (e-value &lt; 1E-5) and the closest genes identified were used as an outgroup in the tree. The proteins were aligned with MAFFT </w:t>
      </w:r>
      <w:hyperlink r:id="rId25" w:history="1">
        <w:r w:rsidRPr="00C11E87">
          <w:rPr>
            <w:rStyle w:val="Hyperlink"/>
            <w:rFonts w:ascii="Arial" w:hAnsi="Arial" w:cs="Arial"/>
            <w:color w:val="000000"/>
            <w:sz w:val="16"/>
            <w:szCs w:val="16"/>
          </w:rPr>
          <w:t>[9]</w:t>
        </w:r>
      </w:hyperlink>
      <w:r w:rsidRPr="00C11E87">
        <w:rPr>
          <w:rFonts w:ascii="Arial" w:hAnsi="Arial" w:cs="Arial"/>
          <w:color w:val="000000"/>
          <w:sz w:val="16"/>
          <w:szCs w:val="16"/>
        </w:rPr>
        <w:t xml:space="preserve">, trimmed with </w:t>
      </w:r>
      <w:proofErr w:type="spellStart"/>
      <w:r w:rsidRPr="00C11E87">
        <w:rPr>
          <w:rFonts w:ascii="Arial" w:hAnsi="Arial" w:cs="Arial"/>
          <w:color w:val="000000"/>
          <w:sz w:val="16"/>
          <w:szCs w:val="16"/>
        </w:rPr>
        <w:t>trimAl</w:t>
      </w:r>
      <w:proofErr w:type="spellEnd"/>
      <w:r w:rsidRPr="00C11E87">
        <w:rPr>
          <w:rFonts w:ascii="Arial" w:hAnsi="Arial" w:cs="Arial"/>
          <w:color w:val="000000"/>
          <w:sz w:val="16"/>
          <w:szCs w:val="16"/>
        </w:rPr>
        <w:t xml:space="preserve"> </w:t>
      </w:r>
      <w:hyperlink r:id="rId26" w:history="1">
        <w:r w:rsidRPr="00C11E87">
          <w:rPr>
            <w:rStyle w:val="Hyperlink"/>
            <w:rFonts w:ascii="Arial" w:hAnsi="Arial" w:cs="Arial"/>
            <w:color w:val="000000"/>
            <w:sz w:val="16"/>
            <w:szCs w:val="16"/>
          </w:rPr>
          <w:t>[10]</w:t>
        </w:r>
      </w:hyperlink>
      <w:r w:rsidRPr="00C11E87">
        <w:rPr>
          <w:rFonts w:ascii="Arial" w:hAnsi="Arial" w:cs="Arial"/>
          <w:color w:val="000000"/>
          <w:sz w:val="16"/>
          <w:szCs w:val="16"/>
        </w:rPr>
        <w:t xml:space="preserve">, and the phylogenetic trees were constructed with IQ-TREE (default parameters for all tools). The generated tree was visualized by </w:t>
      </w:r>
      <w:proofErr w:type="spellStart"/>
      <w:r w:rsidRPr="00C11E87">
        <w:rPr>
          <w:rFonts w:ascii="Arial" w:hAnsi="Arial" w:cs="Arial"/>
          <w:color w:val="000000"/>
          <w:sz w:val="16"/>
          <w:szCs w:val="16"/>
        </w:rPr>
        <w:t>iTOL</w:t>
      </w:r>
      <w:proofErr w:type="spellEnd"/>
      <w:r w:rsidRPr="00C11E87">
        <w:rPr>
          <w:rFonts w:ascii="Arial" w:hAnsi="Arial" w:cs="Arial"/>
          <w:color w:val="000000"/>
          <w:sz w:val="16"/>
          <w:szCs w:val="16"/>
        </w:rPr>
        <w:t xml:space="preserve"> </w:t>
      </w:r>
      <w:hyperlink r:id="rId27" w:history="1">
        <w:r w:rsidRPr="00C11E87">
          <w:rPr>
            <w:rStyle w:val="Hyperlink"/>
            <w:rFonts w:ascii="Arial" w:hAnsi="Arial" w:cs="Arial"/>
            <w:color w:val="000000"/>
            <w:sz w:val="16"/>
            <w:szCs w:val="16"/>
          </w:rPr>
          <w:t>[11]</w:t>
        </w:r>
      </w:hyperlink>
      <w:r w:rsidRPr="00C11E87">
        <w:rPr>
          <w:rFonts w:ascii="Arial" w:hAnsi="Arial" w:cs="Arial"/>
          <w:color w:val="000000"/>
          <w:sz w:val="16"/>
          <w:szCs w:val="16"/>
        </w:rPr>
        <w:t>. Bootstrap values with &gt; 50% are shown in the figure. </w:t>
      </w:r>
    </w:p>
    <w:p w14:paraId="70080C69" w14:textId="06E84465" w:rsidR="002350BA" w:rsidRDefault="002350BA" w:rsidP="002350BA">
      <w:pPr>
        <w:jc w:val="both"/>
        <w:rPr>
          <w:lang w:eastAsia="ja-JP"/>
        </w:rPr>
      </w:pPr>
      <w:r>
        <w:br/>
      </w:r>
      <w:r>
        <w:rPr>
          <w:rFonts w:ascii="Arial" w:hAnsi="Arial" w:cs="Arial"/>
          <w:color w:val="000000"/>
          <w:sz w:val="20"/>
          <w:szCs w:val="20"/>
        </w:rPr>
        <w:t xml:space="preserve">To further explore the detailed taxonomic relationship among the family, we constructed a phylogenetic tree based on large </w:t>
      </w:r>
      <w:proofErr w:type="spellStart"/>
      <w:r>
        <w:rPr>
          <w:rFonts w:ascii="Arial" w:hAnsi="Arial" w:cs="Arial"/>
          <w:color w:val="000000"/>
          <w:sz w:val="20"/>
          <w:szCs w:val="20"/>
        </w:rPr>
        <w:t>terminase</w:t>
      </w:r>
      <w:proofErr w:type="spellEnd"/>
      <w:r>
        <w:rPr>
          <w:rFonts w:ascii="Arial" w:hAnsi="Arial" w:cs="Arial"/>
          <w:color w:val="000000"/>
          <w:sz w:val="20"/>
          <w:szCs w:val="20"/>
        </w:rPr>
        <w:t xml:space="preserve"> genes. The genes were aligned using MAFFT </w:t>
      </w:r>
      <w:hyperlink r:id="rId28" w:history="1">
        <w:r>
          <w:rPr>
            <w:rStyle w:val="Hyperlink"/>
            <w:rFonts w:ascii="Arial" w:hAnsi="Arial" w:cs="Arial"/>
            <w:color w:val="000000"/>
            <w:sz w:val="20"/>
            <w:szCs w:val="20"/>
          </w:rPr>
          <w:t>[9]</w:t>
        </w:r>
      </w:hyperlink>
      <w:r>
        <w:rPr>
          <w:rFonts w:ascii="Arial" w:hAnsi="Arial" w:cs="Arial"/>
          <w:color w:val="000000"/>
          <w:sz w:val="20"/>
          <w:szCs w:val="20"/>
        </w:rPr>
        <w:t xml:space="preserve">, trimmed using </w:t>
      </w:r>
      <w:proofErr w:type="spellStart"/>
      <w:r>
        <w:rPr>
          <w:rFonts w:ascii="Arial" w:hAnsi="Arial" w:cs="Arial"/>
          <w:color w:val="000000"/>
          <w:sz w:val="20"/>
          <w:szCs w:val="20"/>
        </w:rPr>
        <w:t>trimAl</w:t>
      </w:r>
      <w:proofErr w:type="spellEnd"/>
      <w:r>
        <w:rPr>
          <w:rFonts w:ascii="Arial" w:hAnsi="Arial" w:cs="Arial"/>
          <w:color w:val="000000"/>
          <w:sz w:val="20"/>
          <w:szCs w:val="20"/>
        </w:rPr>
        <w:t xml:space="preserve"> </w:t>
      </w:r>
      <w:hyperlink r:id="rId29" w:history="1">
        <w:r>
          <w:rPr>
            <w:rStyle w:val="Hyperlink"/>
            <w:rFonts w:ascii="Arial" w:hAnsi="Arial" w:cs="Arial"/>
            <w:color w:val="000000"/>
            <w:sz w:val="20"/>
            <w:szCs w:val="20"/>
          </w:rPr>
          <w:t>[10]</w:t>
        </w:r>
      </w:hyperlink>
      <w:r>
        <w:rPr>
          <w:rFonts w:ascii="Arial" w:hAnsi="Arial" w:cs="Arial"/>
          <w:color w:val="000000"/>
          <w:sz w:val="20"/>
          <w:szCs w:val="20"/>
        </w:rPr>
        <w:t xml:space="preserve"> and the tree was constructed using IQ-TREE </w:t>
      </w:r>
      <w:hyperlink r:id="rId30" w:history="1">
        <w:r>
          <w:rPr>
            <w:rStyle w:val="Hyperlink"/>
            <w:rFonts w:ascii="Arial" w:hAnsi="Arial" w:cs="Arial"/>
            <w:color w:val="000000"/>
            <w:sz w:val="20"/>
            <w:szCs w:val="20"/>
          </w:rPr>
          <w:t>[12]</w:t>
        </w:r>
      </w:hyperlink>
      <w:r>
        <w:rPr>
          <w:rFonts w:ascii="Arial" w:hAnsi="Arial" w:cs="Arial"/>
          <w:color w:val="000000"/>
          <w:sz w:val="20"/>
          <w:szCs w:val="20"/>
        </w:rPr>
        <w:t xml:space="preserve"> (default parameters for all tools), in which we added the closest gene in </w:t>
      </w:r>
      <w:proofErr w:type="spellStart"/>
      <w:r>
        <w:rPr>
          <w:rFonts w:ascii="Arial" w:hAnsi="Arial" w:cs="Arial"/>
          <w:color w:val="000000"/>
          <w:sz w:val="20"/>
          <w:szCs w:val="20"/>
        </w:rPr>
        <w:t>Genbank</w:t>
      </w:r>
      <w:proofErr w:type="spellEnd"/>
      <w:r>
        <w:rPr>
          <w:rFonts w:ascii="Arial" w:hAnsi="Arial" w:cs="Arial"/>
          <w:color w:val="000000"/>
          <w:sz w:val="20"/>
          <w:szCs w:val="20"/>
        </w:rPr>
        <w:t xml:space="preserve"> (GCA_002610165) as an outgroup (Figure 4a). The resulting tree showed that the three taxonomies we propose were distinct to each other with high bootstrap values. The phylogenetic relationship aligns consistently with the dendrogram we constructed based on shared protein percentages (Figure 3). We also constructed a phylogenetic tree based on portal proteins and confirmed the consistent phylogenetic relationships in the family (Figure 4b).  </w:t>
      </w:r>
      <w:r w:rsidR="004D7A6D" w:rsidRPr="004D7A6D">
        <w:rPr>
          <w:rFonts w:ascii="Arial" w:hAnsi="Arial" w:cs="Arial"/>
          <w:color w:val="000000"/>
          <w:sz w:val="20"/>
          <w:szCs w:val="20"/>
        </w:rPr>
        <w:t xml:space="preserve">We </w:t>
      </w:r>
      <w:r w:rsidR="004D7A6D">
        <w:rPr>
          <w:rFonts w:ascii="Arial" w:hAnsi="Arial" w:cs="Arial"/>
          <w:color w:val="000000"/>
          <w:sz w:val="20"/>
          <w:szCs w:val="20"/>
        </w:rPr>
        <w:t xml:space="preserve">also </w:t>
      </w:r>
      <w:r w:rsidR="004D7A6D" w:rsidRPr="004D7A6D">
        <w:rPr>
          <w:rFonts w:ascii="Arial" w:hAnsi="Arial" w:cs="Arial"/>
          <w:color w:val="000000"/>
          <w:sz w:val="20"/>
          <w:szCs w:val="20"/>
        </w:rPr>
        <w:t xml:space="preserve">attempted to </w:t>
      </w:r>
      <w:r w:rsidR="004D7A6D">
        <w:rPr>
          <w:rFonts w:ascii="Arial" w:hAnsi="Arial" w:cs="Arial"/>
          <w:color w:val="000000"/>
          <w:sz w:val="20"/>
          <w:szCs w:val="20"/>
        </w:rPr>
        <w:t>construct</w:t>
      </w:r>
      <w:r w:rsidR="004D7A6D" w:rsidRPr="004D7A6D">
        <w:rPr>
          <w:rFonts w:ascii="Arial" w:hAnsi="Arial" w:cs="Arial"/>
          <w:color w:val="000000"/>
          <w:sz w:val="20"/>
          <w:szCs w:val="20"/>
        </w:rPr>
        <w:t xml:space="preserve"> a phylogenetic tree based on </w:t>
      </w:r>
      <w:r w:rsidR="004D7A6D">
        <w:rPr>
          <w:rFonts w:ascii="Arial" w:hAnsi="Arial" w:cs="Arial"/>
          <w:color w:val="000000"/>
          <w:sz w:val="20"/>
          <w:szCs w:val="20"/>
        </w:rPr>
        <w:t>major capsid protein (MCP)</w:t>
      </w:r>
      <w:r w:rsidR="004D7A6D" w:rsidRPr="004D7A6D">
        <w:rPr>
          <w:rFonts w:ascii="Arial" w:hAnsi="Arial" w:cs="Arial"/>
          <w:color w:val="000000"/>
          <w:sz w:val="20"/>
          <w:szCs w:val="20"/>
        </w:rPr>
        <w:t xml:space="preserve">, but </w:t>
      </w:r>
      <w:r w:rsidR="004D7A6D">
        <w:rPr>
          <w:rFonts w:ascii="Arial" w:hAnsi="Arial" w:cs="Arial"/>
          <w:color w:val="000000"/>
          <w:sz w:val="20"/>
          <w:szCs w:val="20"/>
        </w:rPr>
        <w:t>could</w:t>
      </w:r>
      <w:r w:rsidR="004D7A6D" w:rsidRPr="004D7A6D">
        <w:rPr>
          <w:rFonts w:ascii="Arial" w:hAnsi="Arial" w:cs="Arial"/>
          <w:color w:val="000000"/>
          <w:sz w:val="20"/>
          <w:szCs w:val="20"/>
        </w:rPr>
        <w:t xml:space="preserve"> not because </w:t>
      </w:r>
      <w:r w:rsidR="004D7A6D">
        <w:rPr>
          <w:rFonts w:ascii="Arial" w:hAnsi="Arial" w:cs="Arial"/>
          <w:color w:val="000000"/>
          <w:sz w:val="20"/>
          <w:szCs w:val="20"/>
        </w:rPr>
        <w:t>no conserved MCP</w:t>
      </w:r>
      <w:r w:rsidR="004D7A6D" w:rsidRPr="004D7A6D">
        <w:rPr>
          <w:rFonts w:ascii="Arial" w:hAnsi="Arial" w:cs="Arial"/>
          <w:color w:val="000000"/>
          <w:sz w:val="20"/>
          <w:szCs w:val="20"/>
        </w:rPr>
        <w:t xml:space="preserve"> </w:t>
      </w:r>
      <w:r w:rsidR="004D7A6D">
        <w:rPr>
          <w:rFonts w:ascii="Arial" w:hAnsi="Arial" w:cs="Arial"/>
          <w:color w:val="000000"/>
          <w:sz w:val="20"/>
          <w:szCs w:val="20"/>
        </w:rPr>
        <w:t xml:space="preserve">across all </w:t>
      </w:r>
      <w:proofErr w:type="spellStart"/>
      <w:r w:rsidR="004D7A6D">
        <w:rPr>
          <w:rFonts w:ascii="Arial" w:hAnsi="Arial" w:cs="Arial"/>
          <w:color w:val="000000"/>
          <w:sz w:val="20"/>
          <w:szCs w:val="20"/>
        </w:rPr>
        <w:t>vOTUs</w:t>
      </w:r>
      <w:proofErr w:type="spellEnd"/>
      <w:r w:rsidR="004D7A6D">
        <w:rPr>
          <w:rFonts w:ascii="Arial" w:hAnsi="Arial" w:cs="Arial"/>
          <w:color w:val="000000"/>
          <w:sz w:val="20"/>
          <w:szCs w:val="20"/>
        </w:rPr>
        <w:t xml:space="preserve"> </w:t>
      </w:r>
      <w:r w:rsidR="004D7A6D" w:rsidRPr="004D7A6D">
        <w:rPr>
          <w:rFonts w:ascii="Arial" w:hAnsi="Arial" w:cs="Arial"/>
          <w:color w:val="000000"/>
          <w:sz w:val="20"/>
          <w:szCs w:val="20"/>
        </w:rPr>
        <w:t xml:space="preserve">was </w:t>
      </w:r>
      <w:r w:rsidR="004D7A6D">
        <w:rPr>
          <w:rFonts w:ascii="Arial" w:hAnsi="Arial" w:cs="Arial"/>
          <w:color w:val="000000"/>
          <w:sz w:val="20"/>
          <w:szCs w:val="20"/>
        </w:rPr>
        <w:t>identified (see table 1 below)</w:t>
      </w:r>
      <w:r w:rsidR="004D7A6D" w:rsidRPr="004D7A6D">
        <w:rPr>
          <w:rFonts w:ascii="Arial" w:hAnsi="Arial" w:cs="Arial"/>
          <w:color w:val="000000"/>
          <w:sz w:val="20"/>
          <w:szCs w:val="20"/>
        </w:rPr>
        <w:t>.</w:t>
      </w:r>
    </w:p>
    <w:p w14:paraId="4FC888CF" w14:textId="77777777" w:rsidR="002350BA" w:rsidRDefault="002350BA" w:rsidP="002350BA"/>
    <w:p w14:paraId="1BE6EAE2" w14:textId="04CDAD82" w:rsidR="00FE3A4D" w:rsidRDefault="00FE3A4D" w:rsidP="00FE3A4D">
      <w:pPr>
        <w:jc w:val="both"/>
        <w:rPr>
          <w:rFonts w:ascii="Arial" w:hAnsi="Arial" w:cs="Arial"/>
          <w:color w:val="000000"/>
          <w:sz w:val="20"/>
          <w:szCs w:val="20"/>
        </w:rPr>
      </w:pPr>
    </w:p>
    <w:p w14:paraId="6185F9B0" w14:textId="6BC8CE3E" w:rsidR="00FE3A4D" w:rsidRDefault="00FE3A4D">
      <w:pPr>
        <w:rPr>
          <w:rFonts w:ascii="Arial" w:hAnsi="Arial" w:cs="Arial"/>
          <w:color w:val="000000"/>
          <w:sz w:val="20"/>
          <w:szCs w:val="20"/>
        </w:rPr>
      </w:pPr>
      <w:r>
        <w:rPr>
          <w:rFonts w:ascii="Arial" w:hAnsi="Arial" w:cs="Arial"/>
          <w:color w:val="000000"/>
          <w:sz w:val="20"/>
          <w:szCs w:val="20"/>
        </w:rPr>
        <w:br w:type="page"/>
      </w:r>
    </w:p>
    <w:p w14:paraId="38DCAB22" w14:textId="5BA10A46" w:rsidR="00014092" w:rsidRPr="00D76C08" w:rsidRDefault="00D257BD" w:rsidP="0074790D">
      <w:pPr>
        <w:jc w:val="both"/>
        <w:rPr>
          <w:rFonts w:ascii="Arial" w:hAnsi="Arial" w:cs="Arial"/>
          <w:color w:val="000000"/>
          <w:sz w:val="18"/>
          <w:szCs w:val="18"/>
          <w:lang w:eastAsia="ja-JP"/>
        </w:rPr>
      </w:pPr>
      <w:r w:rsidRPr="00D76C08">
        <w:rPr>
          <w:rFonts w:ascii="Arial" w:hAnsi="Arial" w:cs="Arial"/>
          <w:color w:val="000000"/>
          <w:sz w:val="18"/>
          <w:szCs w:val="18"/>
          <w:lang w:eastAsia="ja-JP"/>
        </w:rPr>
        <w:lastRenderedPageBreak/>
        <w:t xml:space="preserve">Table 1 | Functional annotation of the nine core genes in </w:t>
      </w:r>
      <w:proofErr w:type="spellStart"/>
      <w:r w:rsidRPr="00D76C08">
        <w:rPr>
          <w:rFonts w:ascii="Arial" w:hAnsi="Arial" w:cs="Arial"/>
          <w:i/>
          <w:iCs/>
          <w:color w:val="000000"/>
          <w:sz w:val="18"/>
          <w:szCs w:val="18"/>
          <w:lang w:eastAsia="ja-JP"/>
        </w:rPr>
        <w:t>Toyamaviridae</w:t>
      </w:r>
      <w:proofErr w:type="spellEnd"/>
      <w:r w:rsidRPr="00D76C08">
        <w:rPr>
          <w:rFonts w:ascii="Arial" w:hAnsi="Arial" w:cs="Arial"/>
          <w:color w:val="000000"/>
          <w:sz w:val="18"/>
          <w:szCs w:val="18"/>
          <w:lang w:eastAsia="ja-JP"/>
        </w:rPr>
        <w:t xml:space="preserve">. </w:t>
      </w:r>
      <w:r w:rsidR="0074790D">
        <w:rPr>
          <w:rFonts w:ascii="Arial" w:hAnsi="Arial" w:cs="Arial"/>
          <w:color w:val="000000"/>
          <w:sz w:val="18"/>
          <w:szCs w:val="18"/>
          <w:lang w:eastAsia="ja-JP"/>
        </w:rPr>
        <w:t xml:space="preserve">Nine proteins that shared among all the 13 </w:t>
      </w:r>
      <w:proofErr w:type="spellStart"/>
      <w:r w:rsidR="0074790D">
        <w:rPr>
          <w:rFonts w:ascii="Arial" w:hAnsi="Arial" w:cs="Arial"/>
          <w:color w:val="000000"/>
          <w:sz w:val="18"/>
          <w:szCs w:val="18"/>
          <w:lang w:eastAsia="ja-JP"/>
        </w:rPr>
        <w:t>vOTUs</w:t>
      </w:r>
      <w:proofErr w:type="spellEnd"/>
      <w:r w:rsidR="0074790D">
        <w:rPr>
          <w:rFonts w:ascii="Arial" w:hAnsi="Arial" w:cs="Arial"/>
          <w:color w:val="000000"/>
          <w:sz w:val="18"/>
          <w:szCs w:val="18"/>
          <w:lang w:eastAsia="ja-JP"/>
        </w:rPr>
        <w:t xml:space="preserve"> were annotated using </w:t>
      </w:r>
      <w:proofErr w:type="spellStart"/>
      <w:r w:rsidR="0074790D">
        <w:rPr>
          <w:rFonts w:ascii="Arial" w:hAnsi="Arial" w:cs="Arial"/>
          <w:color w:val="000000"/>
          <w:sz w:val="18"/>
          <w:szCs w:val="18"/>
          <w:lang w:eastAsia="ja-JP"/>
        </w:rPr>
        <w:t>HHsearch</w:t>
      </w:r>
      <w:proofErr w:type="spellEnd"/>
      <w:r w:rsidR="0074790D">
        <w:rPr>
          <w:rFonts w:ascii="Arial" w:hAnsi="Arial" w:cs="Arial"/>
          <w:color w:val="000000"/>
          <w:sz w:val="18"/>
          <w:szCs w:val="18"/>
          <w:lang w:eastAsia="ja-JP"/>
        </w:rPr>
        <w:t xml:space="preserve"> against the </w:t>
      </w:r>
      <w:proofErr w:type="spellStart"/>
      <w:r w:rsidR="0074790D">
        <w:rPr>
          <w:rFonts w:ascii="Arial" w:hAnsi="Arial" w:cs="Arial"/>
          <w:color w:val="000000"/>
          <w:sz w:val="18"/>
          <w:szCs w:val="18"/>
          <w:lang w:eastAsia="ja-JP"/>
        </w:rPr>
        <w:t>Pfam</w:t>
      </w:r>
      <w:proofErr w:type="spellEnd"/>
      <w:r w:rsidR="0074790D">
        <w:rPr>
          <w:rFonts w:ascii="Arial" w:hAnsi="Arial" w:cs="Arial"/>
          <w:color w:val="000000"/>
          <w:sz w:val="18"/>
          <w:szCs w:val="18"/>
          <w:lang w:eastAsia="ja-JP"/>
        </w:rPr>
        <w:t xml:space="preserve"> database. The gene annotation of</w:t>
      </w:r>
      <w:r w:rsidR="000D1141">
        <w:rPr>
          <w:rFonts w:ascii="Arial" w:hAnsi="Arial" w:cs="Arial"/>
          <w:color w:val="000000"/>
          <w:sz w:val="18"/>
          <w:szCs w:val="18"/>
          <w:lang w:eastAsia="ja-JP"/>
        </w:rPr>
        <w:t xml:space="preserve"> the representative species (</w:t>
      </w:r>
      <w:proofErr w:type="spellStart"/>
      <w:r w:rsidR="0074790D" w:rsidRPr="000D1141">
        <w:rPr>
          <w:rFonts w:ascii="Arial" w:hAnsi="Arial" w:cs="Arial"/>
          <w:i/>
          <w:iCs/>
          <w:color w:val="000000"/>
          <w:sz w:val="18"/>
          <w:szCs w:val="18"/>
          <w:lang w:eastAsia="ja-JP"/>
        </w:rPr>
        <w:t>Totsukavirus</w:t>
      </w:r>
      <w:proofErr w:type="spellEnd"/>
      <w:r w:rsidR="0074790D" w:rsidRPr="000D1141">
        <w:rPr>
          <w:rFonts w:ascii="Arial" w:hAnsi="Arial" w:cs="Arial"/>
          <w:i/>
          <w:iCs/>
          <w:color w:val="000000"/>
          <w:sz w:val="18"/>
          <w:szCs w:val="18"/>
          <w:lang w:eastAsia="ja-JP"/>
        </w:rPr>
        <w:t xml:space="preserve"> </w:t>
      </w:r>
      <w:proofErr w:type="spellStart"/>
      <w:r w:rsidR="0074790D" w:rsidRPr="000D1141">
        <w:rPr>
          <w:rFonts w:ascii="Arial" w:hAnsi="Arial" w:cs="Arial"/>
          <w:i/>
          <w:iCs/>
          <w:color w:val="000000"/>
          <w:sz w:val="18"/>
          <w:szCs w:val="18"/>
          <w:lang w:eastAsia="ja-JP"/>
        </w:rPr>
        <w:t>waseda</w:t>
      </w:r>
      <w:proofErr w:type="spellEnd"/>
      <w:r w:rsidR="000D1141">
        <w:rPr>
          <w:rFonts w:ascii="Arial" w:hAnsi="Arial" w:cs="Arial"/>
          <w:color w:val="000000"/>
          <w:sz w:val="18"/>
          <w:szCs w:val="18"/>
          <w:lang w:eastAsia="ja-JP"/>
        </w:rPr>
        <w:t>, figure 1)</w:t>
      </w:r>
      <w:r w:rsidR="0074790D">
        <w:rPr>
          <w:rFonts w:ascii="Arial" w:hAnsi="Arial" w:cs="Arial"/>
          <w:color w:val="000000"/>
          <w:sz w:val="18"/>
          <w:szCs w:val="18"/>
          <w:lang w:eastAsia="ja-JP"/>
        </w:rPr>
        <w:t xml:space="preserve"> is </w:t>
      </w:r>
      <w:r w:rsidR="000D1141">
        <w:rPr>
          <w:rFonts w:ascii="Arial" w:hAnsi="Arial" w:cs="Arial"/>
          <w:color w:val="000000"/>
          <w:sz w:val="18"/>
          <w:szCs w:val="18"/>
          <w:lang w:eastAsia="ja-JP"/>
        </w:rPr>
        <w:t>shown</w:t>
      </w:r>
      <w:r w:rsidR="0074790D">
        <w:rPr>
          <w:rFonts w:ascii="Arial" w:hAnsi="Arial" w:cs="Arial"/>
          <w:color w:val="000000"/>
          <w:sz w:val="18"/>
          <w:szCs w:val="18"/>
          <w:lang w:eastAsia="ja-JP"/>
        </w:rPr>
        <w:t xml:space="preserve"> in the table. </w:t>
      </w:r>
    </w:p>
    <w:tbl>
      <w:tblPr>
        <w:tblW w:w="8670" w:type="dxa"/>
        <w:tblLook w:val="04A0" w:firstRow="1" w:lastRow="0" w:firstColumn="1" w:lastColumn="0" w:noHBand="0" w:noVBand="1"/>
      </w:tblPr>
      <w:tblGrid>
        <w:gridCol w:w="767"/>
        <w:gridCol w:w="777"/>
        <w:gridCol w:w="1034"/>
        <w:gridCol w:w="3067"/>
        <w:gridCol w:w="1413"/>
        <w:gridCol w:w="937"/>
        <w:gridCol w:w="879"/>
      </w:tblGrid>
      <w:tr w:rsidR="00D76C08" w:rsidRPr="00014092" w14:paraId="761D71E0" w14:textId="77777777" w:rsidTr="00D76C08">
        <w:trPr>
          <w:trHeight w:val="242"/>
        </w:trPr>
        <w:tc>
          <w:tcPr>
            <w:tcW w:w="632" w:type="dxa"/>
            <w:tcBorders>
              <w:top w:val="single" w:sz="4" w:space="0" w:color="000000"/>
              <w:left w:val="nil"/>
              <w:bottom w:val="single" w:sz="4" w:space="0" w:color="000000"/>
              <w:right w:val="nil"/>
            </w:tcBorders>
            <w:shd w:val="clear" w:color="auto" w:fill="auto"/>
            <w:noWrap/>
            <w:vAlign w:val="center"/>
            <w:hideMark/>
          </w:tcPr>
          <w:p w14:paraId="0263340B" w14:textId="77777777" w:rsidR="00D76C08" w:rsidRDefault="00D76C08"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Gene</w:t>
            </w:r>
          </w:p>
          <w:p w14:paraId="1D9D64CD" w14:textId="7DFD884F" w:rsidR="00014092" w:rsidRPr="00D76C08" w:rsidRDefault="00D76C08"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number</w:t>
            </w:r>
          </w:p>
        </w:tc>
        <w:tc>
          <w:tcPr>
            <w:tcW w:w="777" w:type="dxa"/>
            <w:tcBorders>
              <w:top w:val="single" w:sz="4" w:space="0" w:color="000000"/>
              <w:left w:val="nil"/>
              <w:bottom w:val="single" w:sz="4" w:space="0" w:color="000000"/>
              <w:right w:val="nil"/>
            </w:tcBorders>
            <w:shd w:val="clear" w:color="auto" w:fill="auto"/>
            <w:noWrap/>
            <w:vAlign w:val="center"/>
            <w:hideMark/>
          </w:tcPr>
          <w:p w14:paraId="15FA6B7F" w14:textId="77777777" w:rsidR="00D76C08" w:rsidRDefault="00014092"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Gene</w:t>
            </w:r>
          </w:p>
          <w:p w14:paraId="3A30BD7A" w14:textId="76AE40D7" w:rsidR="00014092" w:rsidRPr="00D76C08" w:rsidRDefault="00014092"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length</w:t>
            </w:r>
          </w:p>
        </w:tc>
        <w:tc>
          <w:tcPr>
            <w:tcW w:w="965" w:type="dxa"/>
            <w:tcBorders>
              <w:top w:val="single" w:sz="4" w:space="0" w:color="000000"/>
              <w:left w:val="nil"/>
              <w:bottom w:val="single" w:sz="4" w:space="0" w:color="000000"/>
              <w:right w:val="nil"/>
            </w:tcBorders>
            <w:shd w:val="clear" w:color="auto" w:fill="auto"/>
            <w:noWrap/>
            <w:vAlign w:val="center"/>
            <w:hideMark/>
          </w:tcPr>
          <w:p w14:paraId="7AE1C337" w14:textId="77777777" w:rsidR="00014092" w:rsidRPr="00D76C08" w:rsidRDefault="00014092" w:rsidP="00D76C08">
            <w:pPr>
              <w:jc w:val="center"/>
              <w:rPr>
                <w:rFonts w:ascii="Arial" w:hAnsi="Arial" w:cs="Arial"/>
                <w:b/>
                <w:bCs/>
                <w:color w:val="000000"/>
                <w:sz w:val="15"/>
                <w:szCs w:val="15"/>
                <w:lang w:eastAsia="ja-JP"/>
              </w:rPr>
            </w:pPr>
            <w:proofErr w:type="spellStart"/>
            <w:r w:rsidRPr="00D76C08">
              <w:rPr>
                <w:rFonts w:ascii="Arial" w:hAnsi="Arial" w:cs="Arial"/>
                <w:b/>
                <w:bCs/>
                <w:color w:val="000000"/>
                <w:sz w:val="15"/>
                <w:szCs w:val="15"/>
                <w:lang w:eastAsia="ja-JP"/>
              </w:rPr>
              <w:t>Pfam</w:t>
            </w:r>
            <w:proofErr w:type="spellEnd"/>
            <w:r w:rsidRPr="00D76C08">
              <w:rPr>
                <w:rFonts w:ascii="Arial" w:hAnsi="Arial" w:cs="Arial"/>
                <w:b/>
                <w:bCs/>
                <w:color w:val="000000"/>
                <w:sz w:val="15"/>
                <w:szCs w:val="15"/>
                <w:lang w:eastAsia="ja-JP"/>
              </w:rPr>
              <w:t xml:space="preserve"> ID</w:t>
            </w:r>
          </w:p>
        </w:tc>
        <w:tc>
          <w:tcPr>
            <w:tcW w:w="3067" w:type="dxa"/>
            <w:tcBorders>
              <w:top w:val="single" w:sz="4" w:space="0" w:color="000000"/>
              <w:left w:val="nil"/>
              <w:bottom w:val="single" w:sz="4" w:space="0" w:color="000000"/>
              <w:right w:val="nil"/>
            </w:tcBorders>
            <w:shd w:val="clear" w:color="auto" w:fill="auto"/>
            <w:noWrap/>
            <w:vAlign w:val="center"/>
            <w:hideMark/>
          </w:tcPr>
          <w:p w14:paraId="420B0346" w14:textId="77777777" w:rsidR="00014092" w:rsidRPr="00D76C08" w:rsidRDefault="00014092" w:rsidP="00D76C08">
            <w:pPr>
              <w:jc w:val="center"/>
              <w:rPr>
                <w:rFonts w:ascii="Arial" w:hAnsi="Arial" w:cs="Arial"/>
                <w:b/>
                <w:bCs/>
                <w:color w:val="000000"/>
                <w:sz w:val="15"/>
                <w:szCs w:val="15"/>
                <w:lang w:eastAsia="ja-JP"/>
              </w:rPr>
            </w:pPr>
            <w:proofErr w:type="spellStart"/>
            <w:r w:rsidRPr="00D76C08">
              <w:rPr>
                <w:rFonts w:ascii="Arial" w:hAnsi="Arial" w:cs="Arial"/>
                <w:b/>
                <w:bCs/>
                <w:color w:val="000000"/>
                <w:sz w:val="15"/>
                <w:szCs w:val="15"/>
                <w:lang w:eastAsia="ja-JP"/>
              </w:rPr>
              <w:t>Pfam</w:t>
            </w:r>
            <w:proofErr w:type="spellEnd"/>
            <w:r w:rsidRPr="00D76C08">
              <w:rPr>
                <w:rFonts w:ascii="Arial" w:hAnsi="Arial" w:cs="Arial"/>
                <w:b/>
                <w:bCs/>
                <w:color w:val="000000"/>
                <w:sz w:val="15"/>
                <w:szCs w:val="15"/>
                <w:lang w:eastAsia="ja-JP"/>
              </w:rPr>
              <w:t xml:space="preserve"> description</w:t>
            </w:r>
          </w:p>
        </w:tc>
        <w:tc>
          <w:tcPr>
            <w:tcW w:w="1413" w:type="dxa"/>
            <w:tcBorders>
              <w:top w:val="single" w:sz="4" w:space="0" w:color="000000"/>
              <w:left w:val="nil"/>
              <w:bottom w:val="single" w:sz="4" w:space="0" w:color="000000"/>
              <w:right w:val="nil"/>
            </w:tcBorders>
            <w:shd w:val="clear" w:color="auto" w:fill="auto"/>
            <w:noWrap/>
            <w:vAlign w:val="center"/>
            <w:hideMark/>
          </w:tcPr>
          <w:p w14:paraId="3B897CA8" w14:textId="77777777" w:rsidR="00014092" w:rsidRPr="00D76C08" w:rsidRDefault="00014092"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Probability</w:t>
            </w:r>
          </w:p>
        </w:tc>
        <w:tc>
          <w:tcPr>
            <w:tcW w:w="937" w:type="dxa"/>
            <w:tcBorders>
              <w:top w:val="single" w:sz="4" w:space="0" w:color="000000"/>
              <w:left w:val="nil"/>
              <w:bottom w:val="single" w:sz="4" w:space="0" w:color="000000"/>
              <w:right w:val="nil"/>
            </w:tcBorders>
            <w:shd w:val="clear" w:color="auto" w:fill="auto"/>
            <w:noWrap/>
            <w:vAlign w:val="center"/>
            <w:hideMark/>
          </w:tcPr>
          <w:p w14:paraId="248005E9" w14:textId="77777777" w:rsidR="00014092" w:rsidRPr="00D76C08" w:rsidRDefault="00014092"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e-value</w:t>
            </w:r>
          </w:p>
        </w:tc>
        <w:tc>
          <w:tcPr>
            <w:tcW w:w="879" w:type="dxa"/>
            <w:tcBorders>
              <w:top w:val="single" w:sz="4" w:space="0" w:color="000000"/>
              <w:left w:val="nil"/>
              <w:bottom w:val="single" w:sz="4" w:space="0" w:color="000000"/>
              <w:right w:val="nil"/>
            </w:tcBorders>
            <w:shd w:val="clear" w:color="auto" w:fill="auto"/>
            <w:noWrap/>
            <w:vAlign w:val="center"/>
            <w:hideMark/>
          </w:tcPr>
          <w:p w14:paraId="5E6F7D0E" w14:textId="77777777" w:rsidR="00014092" w:rsidRPr="00D76C08" w:rsidRDefault="00014092" w:rsidP="00D76C08">
            <w:pPr>
              <w:jc w:val="center"/>
              <w:rPr>
                <w:rFonts w:ascii="Arial" w:hAnsi="Arial" w:cs="Arial"/>
                <w:b/>
                <w:bCs/>
                <w:color w:val="000000"/>
                <w:sz w:val="15"/>
                <w:szCs w:val="15"/>
                <w:lang w:eastAsia="ja-JP"/>
              </w:rPr>
            </w:pPr>
            <w:r w:rsidRPr="00D76C08">
              <w:rPr>
                <w:rFonts w:ascii="Arial" w:hAnsi="Arial" w:cs="Arial"/>
                <w:b/>
                <w:bCs/>
                <w:color w:val="000000"/>
                <w:sz w:val="15"/>
                <w:szCs w:val="15"/>
                <w:lang w:eastAsia="ja-JP"/>
              </w:rPr>
              <w:t>score</w:t>
            </w:r>
          </w:p>
        </w:tc>
      </w:tr>
      <w:tr w:rsidR="00D76C08" w:rsidRPr="00014092" w14:paraId="01DE4F66" w14:textId="77777777" w:rsidTr="00D76C08">
        <w:trPr>
          <w:trHeight w:val="242"/>
        </w:trPr>
        <w:tc>
          <w:tcPr>
            <w:tcW w:w="632" w:type="dxa"/>
            <w:tcBorders>
              <w:top w:val="nil"/>
              <w:left w:val="nil"/>
              <w:bottom w:val="nil"/>
              <w:right w:val="nil"/>
            </w:tcBorders>
            <w:shd w:val="clear" w:color="D9D9D9" w:fill="D9D9D9"/>
            <w:noWrap/>
            <w:vAlign w:val="bottom"/>
            <w:hideMark/>
          </w:tcPr>
          <w:p w14:paraId="62A69EE0" w14:textId="4AD5D7EC"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00006</w:t>
            </w:r>
          </w:p>
        </w:tc>
        <w:tc>
          <w:tcPr>
            <w:tcW w:w="777" w:type="dxa"/>
            <w:tcBorders>
              <w:top w:val="nil"/>
              <w:left w:val="nil"/>
              <w:bottom w:val="nil"/>
              <w:right w:val="nil"/>
            </w:tcBorders>
            <w:shd w:val="clear" w:color="D9D9D9" w:fill="D9D9D9"/>
            <w:noWrap/>
            <w:vAlign w:val="bottom"/>
            <w:hideMark/>
          </w:tcPr>
          <w:p w14:paraId="2D29E4FF" w14:textId="3C2C3BE2"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657</w:t>
            </w:r>
          </w:p>
        </w:tc>
        <w:tc>
          <w:tcPr>
            <w:tcW w:w="965" w:type="dxa"/>
            <w:tcBorders>
              <w:top w:val="nil"/>
              <w:left w:val="nil"/>
              <w:bottom w:val="nil"/>
              <w:right w:val="nil"/>
            </w:tcBorders>
            <w:shd w:val="clear" w:color="D9D9D9" w:fill="D9D9D9"/>
            <w:noWrap/>
            <w:vAlign w:val="bottom"/>
            <w:hideMark/>
          </w:tcPr>
          <w:p w14:paraId="3B42DA83"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PF16510.5</w:t>
            </w:r>
          </w:p>
        </w:tc>
        <w:tc>
          <w:tcPr>
            <w:tcW w:w="3067" w:type="dxa"/>
            <w:tcBorders>
              <w:top w:val="nil"/>
              <w:left w:val="nil"/>
              <w:bottom w:val="nil"/>
              <w:right w:val="nil"/>
            </w:tcBorders>
            <w:shd w:val="clear" w:color="D9D9D9" w:fill="D9D9D9"/>
            <w:noWrap/>
            <w:vAlign w:val="bottom"/>
            <w:hideMark/>
          </w:tcPr>
          <w:p w14:paraId="0EC59F32" w14:textId="77777777" w:rsidR="00D76C08" w:rsidRPr="006070D8" w:rsidRDefault="00D76C08" w:rsidP="00D76C08">
            <w:pPr>
              <w:widowControl w:val="0"/>
              <w:kinsoku w:val="0"/>
              <w:overflowPunct w:val="0"/>
              <w:autoSpaceDE w:val="0"/>
              <w:autoSpaceDN w:val="0"/>
              <w:adjustRightInd w:val="0"/>
              <w:snapToGrid w:val="0"/>
              <w:rPr>
                <w:rFonts w:ascii="Arial" w:hAnsi="Arial" w:cs="Arial"/>
                <w:color w:val="000000"/>
                <w:sz w:val="15"/>
                <w:szCs w:val="15"/>
                <w:lang w:val="nb-NO" w:eastAsia="ja-JP"/>
              </w:rPr>
            </w:pPr>
            <w:proofErr w:type="spellStart"/>
            <w:r w:rsidRPr="006070D8">
              <w:rPr>
                <w:rFonts w:ascii="Arial" w:hAnsi="Arial" w:cs="Arial"/>
                <w:color w:val="000000"/>
                <w:sz w:val="15"/>
                <w:szCs w:val="15"/>
                <w:lang w:val="nb-NO" w:eastAsia="ja-JP"/>
              </w:rPr>
              <w:t>Phage</w:t>
            </w:r>
            <w:proofErr w:type="spellEnd"/>
            <w:r w:rsidRPr="006070D8">
              <w:rPr>
                <w:rFonts w:ascii="Arial" w:hAnsi="Arial" w:cs="Arial"/>
                <w:color w:val="000000"/>
                <w:sz w:val="15"/>
                <w:szCs w:val="15"/>
                <w:lang w:val="nb-NO" w:eastAsia="ja-JP"/>
              </w:rPr>
              <w:t xml:space="preserve"> P22-like portal protein</w:t>
            </w:r>
          </w:p>
        </w:tc>
        <w:tc>
          <w:tcPr>
            <w:tcW w:w="1413" w:type="dxa"/>
            <w:tcBorders>
              <w:top w:val="nil"/>
              <w:left w:val="nil"/>
              <w:bottom w:val="nil"/>
              <w:right w:val="nil"/>
            </w:tcBorders>
            <w:shd w:val="clear" w:color="D9D9D9" w:fill="D9D9D9"/>
            <w:noWrap/>
            <w:vAlign w:val="bottom"/>
            <w:hideMark/>
          </w:tcPr>
          <w:p w14:paraId="4E78FF34"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100</w:t>
            </w:r>
          </w:p>
        </w:tc>
        <w:tc>
          <w:tcPr>
            <w:tcW w:w="937" w:type="dxa"/>
            <w:tcBorders>
              <w:top w:val="nil"/>
              <w:left w:val="nil"/>
              <w:bottom w:val="nil"/>
              <w:right w:val="nil"/>
            </w:tcBorders>
            <w:shd w:val="clear" w:color="D9D9D9" w:fill="D9D9D9"/>
            <w:noWrap/>
            <w:vAlign w:val="bottom"/>
            <w:hideMark/>
          </w:tcPr>
          <w:p w14:paraId="12E35705"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7.00E-50</w:t>
            </w:r>
          </w:p>
        </w:tc>
        <w:tc>
          <w:tcPr>
            <w:tcW w:w="879" w:type="dxa"/>
            <w:tcBorders>
              <w:top w:val="nil"/>
              <w:left w:val="nil"/>
              <w:bottom w:val="nil"/>
              <w:right w:val="nil"/>
            </w:tcBorders>
            <w:shd w:val="clear" w:color="D9D9D9" w:fill="D9D9D9"/>
            <w:noWrap/>
            <w:vAlign w:val="bottom"/>
            <w:hideMark/>
          </w:tcPr>
          <w:p w14:paraId="368E0839"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417</w:t>
            </w:r>
          </w:p>
        </w:tc>
      </w:tr>
      <w:tr w:rsidR="00D76C08" w:rsidRPr="00014092" w14:paraId="2C876111" w14:textId="77777777" w:rsidTr="00D76C08">
        <w:trPr>
          <w:trHeight w:val="242"/>
        </w:trPr>
        <w:tc>
          <w:tcPr>
            <w:tcW w:w="632" w:type="dxa"/>
            <w:tcBorders>
              <w:top w:val="nil"/>
              <w:left w:val="nil"/>
              <w:bottom w:val="nil"/>
              <w:right w:val="nil"/>
            </w:tcBorders>
            <w:shd w:val="clear" w:color="auto" w:fill="auto"/>
            <w:noWrap/>
            <w:vAlign w:val="bottom"/>
            <w:hideMark/>
          </w:tcPr>
          <w:p w14:paraId="4898A39E" w14:textId="08C95CB1"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00028</w:t>
            </w:r>
          </w:p>
        </w:tc>
        <w:tc>
          <w:tcPr>
            <w:tcW w:w="777" w:type="dxa"/>
            <w:tcBorders>
              <w:top w:val="nil"/>
              <w:left w:val="nil"/>
              <w:bottom w:val="nil"/>
              <w:right w:val="nil"/>
            </w:tcBorders>
            <w:shd w:val="clear" w:color="auto" w:fill="auto"/>
            <w:noWrap/>
            <w:vAlign w:val="bottom"/>
            <w:hideMark/>
          </w:tcPr>
          <w:p w14:paraId="22C9BAA5" w14:textId="55889E20"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898</w:t>
            </w:r>
          </w:p>
        </w:tc>
        <w:tc>
          <w:tcPr>
            <w:tcW w:w="965" w:type="dxa"/>
            <w:tcBorders>
              <w:top w:val="nil"/>
              <w:left w:val="nil"/>
              <w:bottom w:val="nil"/>
              <w:right w:val="nil"/>
            </w:tcBorders>
            <w:shd w:val="clear" w:color="auto" w:fill="auto"/>
            <w:noWrap/>
            <w:vAlign w:val="bottom"/>
            <w:hideMark/>
          </w:tcPr>
          <w:p w14:paraId="300A190B"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PF11134.8</w:t>
            </w:r>
          </w:p>
        </w:tc>
        <w:tc>
          <w:tcPr>
            <w:tcW w:w="3067" w:type="dxa"/>
            <w:tcBorders>
              <w:top w:val="nil"/>
              <w:left w:val="nil"/>
              <w:bottom w:val="nil"/>
              <w:right w:val="nil"/>
            </w:tcBorders>
            <w:shd w:val="clear" w:color="auto" w:fill="auto"/>
            <w:noWrap/>
            <w:vAlign w:val="bottom"/>
            <w:hideMark/>
          </w:tcPr>
          <w:p w14:paraId="0E6F9151" w14:textId="77777777"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 xml:space="preserve">Phage </w:t>
            </w:r>
            <w:proofErr w:type="spellStart"/>
            <w:r w:rsidRPr="00D76C08">
              <w:rPr>
                <w:rFonts w:ascii="Arial" w:hAnsi="Arial" w:cs="Arial"/>
                <w:color w:val="000000"/>
                <w:sz w:val="15"/>
                <w:szCs w:val="15"/>
                <w:lang w:eastAsia="ja-JP"/>
              </w:rPr>
              <w:t>stabilisation</w:t>
            </w:r>
            <w:proofErr w:type="spellEnd"/>
            <w:r w:rsidRPr="00D76C08">
              <w:rPr>
                <w:rFonts w:ascii="Arial" w:hAnsi="Arial" w:cs="Arial"/>
                <w:color w:val="000000"/>
                <w:sz w:val="15"/>
                <w:szCs w:val="15"/>
                <w:lang w:eastAsia="ja-JP"/>
              </w:rPr>
              <w:t xml:space="preserve"> protein</w:t>
            </w:r>
          </w:p>
        </w:tc>
        <w:tc>
          <w:tcPr>
            <w:tcW w:w="1413" w:type="dxa"/>
            <w:tcBorders>
              <w:top w:val="nil"/>
              <w:left w:val="nil"/>
              <w:bottom w:val="nil"/>
              <w:right w:val="nil"/>
            </w:tcBorders>
            <w:shd w:val="clear" w:color="auto" w:fill="auto"/>
            <w:noWrap/>
            <w:vAlign w:val="bottom"/>
            <w:hideMark/>
          </w:tcPr>
          <w:p w14:paraId="69268D7D"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99.9</w:t>
            </w:r>
          </w:p>
        </w:tc>
        <w:tc>
          <w:tcPr>
            <w:tcW w:w="937" w:type="dxa"/>
            <w:tcBorders>
              <w:top w:val="nil"/>
              <w:left w:val="nil"/>
              <w:bottom w:val="nil"/>
              <w:right w:val="nil"/>
            </w:tcBorders>
            <w:shd w:val="clear" w:color="auto" w:fill="auto"/>
            <w:noWrap/>
            <w:vAlign w:val="bottom"/>
            <w:hideMark/>
          </w:tcPr>
          <w:p w14:paraId="070EF60A"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1.10E-29</w:t>
            </w:r>
          </w:p>
        </w:tc>
        <w:tc>
          <w:tcPr>
            <w:tcW w:w="879" w:type="dxa"/>
            <w:tcBorders>
              <w:top w:val="nil"/>
              <w:left w:val="nil"/>
              <w:bottom w:val="nil"/>
              <w:right w:val="nil"/>
            </w:tcBorders>
            <w:shd w:val="clear" w:color="auto" w:fill="auto"/>
            <w:noWrap/>
            <w:vAlign w:val="bottom"/>
            <w:hideMark/>
          </w:tcPr>
          <w:p w14:paraId="64019A3F"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286.4</w:t>
            </w:r>
          </w:p>
        </w:tc>
      </w:tr>
      <w:tr w:rsidR="00D76C08" w:rsidRPr="00014092" w14:paraId="372436DC" w14:textId="77777777" w:rsidTr="00D76C08">
        <w:trPr>
          <w:trHeight w:val="242"/>
        </w:trPr>
        <w:tc>
          <w:tcPr>
            <w:tcW w:w="632" w:type="dxa"/>
            <w:tcBorders>
              <w:top w:val="nil"/>
              <w:left w:val="nil"/>
              <w:bottom w:val="nil"/>
              <w:right w:val="nil"/>
            </w:tcBorders>
            <w:shd w:val="clear" w:color="D9D9D9" w:fill="D9D9D9"/>
            <w:noWrap/>
            <w:vAlign w:val="bottom"/>
            <w:hideMark/>
          </w:tcPr>
          <w:p w14:paraId="60A39E84" w14:textId="2FF5B19E"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00005</w:t>
            </w:r>
          </w:p>
        </w:tc>
        <w:tc>
          <w:tcPr>
            <w:tcW w:w="777" w:type="dxa"/>
            <w:tcBorders>
              <w:top w:val="nil"/>
              <w:left w:val="nil"/>
              <w:bottom w:val="nil"/>
              <w:right w:val="nil"/>
            </w:tcBorders>
            <w:shd w:val="clear" w:color="D9D9D9" w:fill="D9D9D9"/>
            <w:noWrap/>
            <w:vAlign w:val="bottom"/>
            <w:hideMark/>
          </w:tcPr>
          <w:p w14:paraId="000529E4" w14:textId="7A3114E2"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5391</w:t>
            </w:r>
          </w:p>
        </w:tc>
        <w:tc>
          <w:tcPr>
            <w:tcW w:w="965" w:type="dxa"/>
            <w:tcBorders>
              <w:top w:val="nil"/>
              <w:left w:val="nil"/>
              <w:bottom w:val="nil"/>
              <w:right w:val="nil"/>
            </w:tcBorders>
            <w:shd w:val="clear" w:color="D9D9D9" w:fill="D9D9D9"/>
            <w:noWrap/>
            <w:vAlign w:val="bottom"/>
            <w:hideMark/>
          </w:tcPr>
          <w:p w14:paraId="6124AD93"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PF18763.1</w:t>
            </w:r>
          </w:p>
        </w:tc>
        <w:tc>
          <w:tcPr>
            <w:tcW w:w="3067" w:type="dxa"/>
            <w:tcBorders>
              <w:top w:val="nil"/>
              <w:left w:val="nil"/>
              <w:bottom w:val="nil"/>
              <w:right w:val="nil"/>
            </w:tcBorders>
            <w:shd w:val="clear" w:color="D9D9D9" w:fill="D9D9D9"/>
            <w:noWrap/>
            <w:vAlign w:val="bottom"/>
            <w:hideMark/>
          </w:tcPr>
          <w:p w14:paraId="5723BE83" w14:textId="77777777"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proofErr w:type="spellStart"/>
            <w:r w:rsidRPr="00D76C08">
              <w:rPr>
                <w:rFonts w:ascii="Arial" w:hAnsi="Arial" w:cs="Arial"/>
                <w:color w:val="000000"/>
                <w:sz w:val="15"/>
                <w:szCs w:val="15"/>
                <w:lang w:eastAsia="ja-JP"/>
              </w:rPr>
              <w:t>ddrB</w:t>
            </w:r>
            <w:proofErr w:type="spellEnd"/>
            <w:r w:rsidRPr="00D76C08">
              <w:rPr>
                <w:rFonts w:ascii="Arial" w:hAnsi="Arial" w:cs="Arial"/>
                <w:color w:val="000000"/>
                <w:sz w:val="15"/>
                <w:szCs w:val="15"/>
                <w:lang w:eastAsia="ja-JP"/>
              </w:rPr>
              <w:t xml:space="preserve">-like </w:t>
            </w:r>
            <w:proofErr w:type="spellStart"/>
            <w:r w:rsidRPr="00D76C08">
              <w:rPr>
                <w:rFonts w:ascii="Arial" w:hAnsi="Arial" w:cs="Arial"/>
                <w:color w:val="000000"/>
                <w:sz w:val="15"/>
                <w:szCs w:val="15"/>
                <w:lang w:eastAsia="ja-JP"/>
              </w:rPr>
              <w:t>ParB</w:t>
            </w:r>
            <w:proofErr w:type="spellEnd"/>
            <w:r w:rsidRPr="00D76C08">
              <w:rPr>
                <w:rFonts w:ascii="Arial" w:hAnsi="Arial" w:cs="Arial"/>
                <w:color w:val="000000"/>
                <w:sz w:val="15"/>
                <w:szCs w:val="15"/>
                <w:lang w:eastAsia="ja-JP"/>
              </w:rPr>
              <w:t xml:space="preserve"> superfamily domain</w:t>
            </w:r>
          </w:p>
        </w:tc>
        <w:tc>
          <w:tcPr>
            <w:tcW w:w="1413" w:type="dxa"/>
            <w:tcBorders>
              <w:top w:val="nil"/>
              <w:left w:val="nil"/>
              <w:bottom w:val="nil"/>
              <w:right w:val="nil"/>
            </w:tcBorders>
            <w:shd w:val="clear" w:color="D9D9D9" w:fill="D9D9D9"/>
            <w:noWrap/>
            <w:vAlign w:val="bottom"/>
            <w:hideMark/>
          </w:tcPr>
          <w:p w14:paraId="115094B0"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99.9</w:t>
            </w:r>
          </w:p>
        </w:tc>
        <w:tc>
          <w:tcPr>
            <w:tcW w:w="937" w:type="dxa"/>
            <w:tcBorders>
              <w:top w:val="nil"/>
              <w:left w:val="nil"/>
              <w:bottom w:val="nil"/>
              <w:right w:val="nil"/>
            </w:tcBorders>
            <w:shd w:val="clear" w:color="D9D9D9" w:fill="D9D9D9"/>
            <w:noWrap/>
            <w:vAlign w:val="bottom"/>
            <w:hideMark/>
          </w:tcPr>
          <w:p w14:paraId="5B64E965"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2.60E-31</w:t>
            </w:r>
          </w:p>
        </w:tc>
        <w:tc>
          <w:tcPr>
            <w:tcW w:w="879" w:type="dxa"/>
            <w:tcBorders>
              <w:top w:val="nil"/>
              <w:left w:val="nil"/>
              <w:bottom w:val="nil"/>
              <w:right w:val="nil"/>
            </w:tcBorders>
            <w:shd w:val="clear" w:color="D9D9D9" w:fill="D9D9D9"/>
            <w:noWrap/>
            <w:vAlign w:val="bottom"/>
            <w:hideMark/>
          </w:tcPr>
          <w:p w14:paraId="495AB024"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301.1</w:t>
            </w:r>
          </w:p>
        </w:tc>
      </w:tr>
      <w:tr w:rsidR="00D76C08" w:rsidRPr="00014092" w14:paraId="7E8CB4C9" w14:textId="77777777" w:rsidTr="00D76C08">
        <w:trPr>
          <w:trHeight w:val="242"/>
        </w:trPr>
        <w:tc>
          <w:tcPr>
            <w:tcW w:w="632" w:type="dxa"/>
            <w:tcBorders>
              <w:top w:val="nil"/>
              <w:left w:val="nil"/>
              <w:bottom w:val="nil"/>
              <w:right w:val="nil"/>
            </w:tcBorders>
            <w:shd w:val="clear" w:color="auto" w:fill="auto"/>
            <w:noWrap/>
            <w:vAlign w:val="bottom"/>
            <w:hideMark/>
          </w:tcPr>
          <w:p w14:paraId="03597157" w14:textId="7FABC087"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00009</w:t>
            </w:r>
          </w:p>
        </w:tc>
        <w:tc>
          <w:tcPr>
            <w:tcW w:w="777" w:type="dxa"/>
            <w:tcBorders>
              <w:top w:val="nil"/>
              <w:left w:val="nil"/>
              <w:bottom w:val="nil"/>
              <w:right w:val="nil"/>
            </w:tcBorders>
            <w:shd w:val="clear" w:color="auto" w:fill="auto"/>
            <w:noWrap/>
            <w:vAlign w:val="bottom"/>
            <w:hideMark/>
          </w:tcPr>
          <w:p w14:paraId="195DBACC" w14:textId="09F809B9"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698</w:t>
            </w:r>
          </w:p>
        </w:tc>
        <w:tc>
          <w:tcPr>
            <w:tcW w:w="965" w:type="dxa"/>
            <w:tcBorders>
              <w:top w:val="nil"/>
              <w:left w:val="nil"/>
              <w:bottom w:val="nil"/>
              <w:right w:val="nil"/>
            </w:tcBorders>
            <w:shd w:val="clear" w:color="auto" w:fill="auto"/>
            <w:noWrap/>
            <w:vAlign w:val="bottom"/>
            <w:hideMark/>
          </w:tcPr>
          <w:p w14:paraId="3BD3F3AF"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PF03354.15</w:t>
            </w:r>
          </w:p>
        </w:tc>
        <w:tc>
          <w:tcPr>
            <w:tcW w:w="3067" w:type="dxa"/>
            <w:tcBorders>
              <w:top w:val="nil"/>
              <w:left w:val="nil"/>
              <w:bottom w:val="nil"/>
              <w:right w:val="nil"/>
            </w:tcBorders>
            <w:shd w:val="clear" w:color="auto" w:fill="auto"/>
            <w:noWrap/>
            <w:vAlign w:val="bottom"/>
            <w:hideMark/>
          </w:tcPr>
          <w:p w14:paraId="4D3856AB" w14:textId="77777777"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 xml:space="preserve">Phage </w:t>
            </w:r>
            <w:proofErr w:type="spellStart"/>
            <w:r w:rsidRPr="00D76C08">
              <w:rPr>
                <w:rFonts w:ascii="Arial" w:hAnsi="Arial" w:cs="Arial"/>
                <w:color w:val="000000"/>
                <w:sz w:val="15"/>
                <w:szCs w:val="15"/>
                <w:lang w:eastAsia="ja-JP"/>
              </w:rPr>
              <w:t>Terminase</w:t>
            </w:r>
            <w:proofErr w:type="spellEnd"/>
          </w:p>
        </w:tc>
        <w:tc>
          <w:tcPr>
            <w:tcW w:w="1413" w:type="dxa"/>
            <w:tcBorders>
              <w:top w:val="nil"/>
              <w:left w:val="nil"/>
              <w:bottom w:val="nil"/>
              <w:right w:val="nil"/>
            </w:tcBorders>
            <w:shd w:val="clear" w:color="auto" w:fill="auto"/>
            <w:noWrap/>
            <w:vAlign w:val="bottom"/>
            <w:hideMark/>
          </w:tcPr>
          <w:p w14:paraId="0561ACA6"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99.9</w:t>
            </w:r>
          </w:p>
        </w:tc>
        <w:tc>
          <w:tcPr>
            <w:tcW w:w="937" w:type="dxa"/>
            <w:tcBorders>
              <w:top w:val="nil"/>
              <w:left w:val="nil"/>
              <w:bottom w:val="nil"/>
              <w:right w:val="nil"/>
            </w:tcBorders>
            <w:shd w:val="clear" w:color="auto" w:fill="auto"/>
            <w:noWrap/>
            <w:vAlign w:val="bottom"/>
            <w:hideMark/>
          </w:tcPr>
          <w:p w14:paraId="0F291D92"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1.60E-30</w:t>
            </w:r>
          </w:p>
        </w:tc>
        <w:tc>
          <w:tcPr>
            <w:tcW w:w="879" w:type="dxa"/>
            <w:tcBorders>
              <w:top w:val="nil"/>
              <w:left w:val="nil"/>
              <w:bottom w:val="nil"/>
              <w:right w:val="nil"/>
            </w:tcBorders>
            <w:shd w:val="clear" w:color="auto" w:fill="auto"/>
            <w:noWrap/>
            <w:vAlign w:val="bottom"/>
            <w:hideMark/>
          </w:tcPr>
          <w:p w14:paraId="37602588"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271.2</w:t>
            </w:r>
          </w:p>
        </w:tc>
      </w:tr>
      <w:tr w:rsidR="00D76C08" w:rsidRPr="00014092" w14:paraId="5A83D7E7" w14:textId="77777777" w:rsidTr="00D76C08">
        <w:trPr>
          <w:trHeight w:val="242"/>
        </w:trPr>
        <w:tc>
          <w:tcPr>
            <w:tcW w:w="632" w:type="dxa"/>
            <w:tcBorders>
              <w:top w:val="nil"/>
              <w:left w:val="nil"/>
              <w:bottom w:val="nil"/>
              <w:right w:val="nil"/>
            </w:tcBorders>
            <w:shd w:val="clear" w:color="D9D9D9" w:fill="D9D9D9"/>
            <w:noWrap/>
            <w:vAlign w:val="bottom"/>
            <w:hideMark/>
          </w:tcPr>
          <w:p w14:paraId="77006FD0" w14:textId="7B05FBD7"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00003</w:t>
            </w:r>
          </w:p>
        </w:tc>
        <w:tc>
          <w:tcPr>
            <w:tcW w:w="777" w:type="dxa"/>
            <w:tcBorders>
              <w:top w:val="nil"/>
              <w:left w:val="nil"/>
              <w:bottom w:val="nil"/>
              <w:right w:val="nil"/>
            </w:tcBorders>
            <w:shd w:val="clear" w:color="D9D9D9" w:fill="D9D9D9"/>
            <w:noWrap/>
            <w:vAlign w:val="bottom"/>
            <w:hideMark/>
          </w:tcPr>
          <w:p w14:paraId="66CE74DF" w14:textId="21C6BDCF"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159</w:t>
            </w:r>
          </w:p>
        </w:tc>
        <w:tc>
          <w:tcPr>
            <w:tcW w:w="965" w:type="dxa"/>
            <w:tcBorders>
              <w:top w:val="nil"/>
              <w:left w:val="nil"/>
              <w:bottom w:val="nil"/>
              <w:right w:val="nil"/>
            </w:tcBorders>
            <w:shd w:val="clear" w:color="D9D9D9" w:fill="D9D9D9"/>
            <w:noWrap/>
            <w:vAlign w:val="bottom"/>
            <w:hideMark/>
          </w:tcPr>
          <w:p w14:paraId="19668806" w14:textId="75BB0374"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067" w:type="dxa"/>
            <w:tcBorders>
              <w:top w:val="nil"/>
              <w:left w:val="nil"/>
              <w:bottom w:val="nil"/>
              <w:right w:val="nil"/>
            </w:tcBorders>
            <w:shd w:val="clear" w:color="D9D9D9" w:fill="D9D9D9"/>
            <w:noWrap/>
            <w:vAlign w:val="bottom"/>
            <w:hideMark/>
          </w:tcPr>
          <w:p w14:paraId="0D7D0F12" w14:textId="39407888" w:rsidR="00D76C08" w:rsidRPr="00D76C08" w:rsidRDefault="00EE3244" w:rsidP="00D76C08">
            <w:pPr>
              <w:widowControl w:val="0"/>
              <w:kinsoku w:val="0"/>
              <w:overflowPunct w:val="0"/>
              <w:autoSpaceDE w:val="0"/>
              <w:autoSpaceDN w:val="0"/>
              <w:adjustRightInd w:val="0"/>
              <w:snapToGrid w:val="0"/>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1413" w:type="dxa"/>
            <w:tcBorders>
              <w:top w:val="nil"/>
              <w:left w:val="nil"/>
              <w:bottom w:val="nil"/>
              <w:right w:val="nil"/>
            </w:tcBorders>
            <w:shd w:val="clear" w:color="D9D9D9" w:fill="D9D9D9"/>
            <w:noWrap/>
            <w:vAlign w:val="bottom"/>
            <w:hideMark/>
          </w:tcPr>
          <w:p w14:paraId="11B7E48F" w14:textId="38E1E266"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37" w:type="dxa"/>
            <w:tcBorders>
              <w:top w:val="nil"/>
              <w:left w:val="nil"/>
              <w:bottom w:val="nil"/>
              <w:right w:val="nil"/>
            </w:tcBorders>
            <w:shd w:val="clear" w:color="D9D9D9" w:fill="D9D9D9"/>
            <w:noWrap/>
            <w:vAlign w:val="bottom"/>
            <w:hideMark/>
          </w:tcPr>
          <w:p w14:paraId="56C7EC35" w14:textId="2354FF0F"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879" w:type="dxa"/>
            <w:tcBorders>
              <w:top w:val="nil"/>
              <w:left w:val="nil"/>
              <w:bottom w:val="nil"/>
              <w:right w:val="nil"/>
            </w:tcBorders>
            <w:shd w:val="clear" w:color="D9D9D9" w:fill="D9D9D9"/>
            <w:noWrap/>
            <w:vAlign w:val="bottom"/>
            <w:hideMark/>
          </w:tcPr>
          <w:p w14:paraId="4EBD982D" w14:textId="79D0609E"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D76C08" w:rsidRPr="00014092" w14:paraId="10A9A7CB" w14:textId="77777777" w:rsidTr="00D76C08">
        <w:trPr>
          <w:trHeight w:val="242"/>
        </w:trPr>
        <w:tc>
          <w:tcPr>
            <w:tcW w:w="632" w:type="dxa"/>
            <w:tcBorders>
              <w:top w:val="nil"/>
              <w:left w:val="nil"/>
              <w:bottom w:val="nil"/>
              <w:right w:val="nil"/>
            </w:tcBorders>
            <w:shd w:val="clear" w:color="auto" w:fill="auto"/>
            <w:noWrap/>
            <w:vAlign w:val="bottom"/>
            <w:hideMark/>
          </w:tcPr>
          <w:p w14:paraId="0EFEA5CB" w14:textId="2F9B709A"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00027</w:t>
            </w:r>
          </w:p>
        </w:tc>
        <w:tc>
          <w:tcPr>
            <w:tcW w:w="777" w:type="dxa"/>
            <w:tcBorders>
              <w:top w:val="nil"/>
              <w:left w:val="nil"/>
              <w:bottom w:val="nil"/>
              <w:right w:val="nil"/>
            </w:tcBorders>
            <w:shd w:val="clear" w:color="auto" w:fill="auto"/>
            <w:noWrap/>
            <w:vAlign w:val="bottom"/>
            <w:hideMark/>
          </w:tcPr>
          <w:p w14:paraId="5A2B0D4C" w14:textId="3C69F34D"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176</w:t>
            </w:r>
          </w:p>
        </w:tc>
        <w:tc>
          <w:tcPr>
            <w:tcW w:w="965" w:type="dxa"/>
            <w:tcBorders>
              <w:top w:val="nil"/>
              <w:left w:val="nil"/>
              <w:bottom w:val="nil"/>
              <w:right w:val="nil"/>
            </w:tcBorders>
            <w:shd w:val="clear" w:color="auto" w:fill="auto"/>
            <w:noWrap/>
            <w:vAlign w:val="bottom"/>
            <w:hideMark/>
          </w:tcPr>
          <w:p w14:paraId="40AA116C" w14:textId="36CFEA4D"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067" w:type="dxa"/>
            <w:tcBorders>
              <w:top w:val="nil"/>
              <w:left w:val="nil"/>
              <w:bottom w:val="nil"/>
              <w:right w:val="nil"/>
            </w:tcBorders>
            <w:shd w:val="clear" w:color="auto" w:fill="auto"/>
            <w:noWrap/>
            <w:vAlign w:val="bottom"/>
            <w:hideMark/>
          </w:tcPr>
          <w:p w14:paraId="576B3CE4" w14:textId="1F0129FD" w:rsidR="00D76C08" w:rsidRPr="00D76C08" w:rsidRDefault="00EE3244" w:rsidP="00D76C08">
            <w:pPr>
              <w:widowControl w:val="0"/>
              <w:kinsoku w:val="0"/>
              <w:overflowPunct w:val="0"/>
              <w:autoSpaceDE w:val="0"/>
              <w:autoSpaceDN w:val="0"/>
              <w:adjustRightInd w:val="0"/>
              <w:snapToGrid w:val="0"/>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1413" w:type="dxa"/>
            <w:tcBorders>
              <w:top w:val="nil"/>
              <w:left w:val="nil"/>
              <w:bottom w:val="nil"/>
              <w:right w:val="nil"/>
            </w:tcBorders>
            <w:shd w:val="clear" w:color="auto" w:fill="auto"/>
            <w:noWrap/>
            <w:vAlign w:val="bottom"/>
            <w:hideMark/>
          </w:tcPr>
          <w:p w14:paraId="480BDCCE" w14:textId="2A776815"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37" w:type="dxa"/>
            <w:tcBorders>
              <w:top w:val="nil"/>
              <w:left w:val="nil"/>
              <w:bottom w:val="nil"/>
              <w:right w:val="nil"/>
            </w:tcBorders>
            <w:shd w:val="clear" w:color="auto" w:fill="auto"/>
            <w:noWrap/>
            <w:vAlign w:val="bottom"/>
            <w:hideMark/>
          </w:tcPr>
          <w:p w14:paraId="0A22ACD9" w14:textId="693597FD"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879" w:type="dxa"/>
            <w:tcBorders>
              <w:top w:val="nil"/>
              <w:left w:val="nil"/>
              <w:bottom w:val="nil"/>
              <w:right w:val="nil"/>
            </w:tcBorders>
            <w:shd w:val="clear" w:color="auto" w:fill="auto"/>
            <w:noWrap/>
            <w:vAlign w:val="bottom"/>
            <w:hideMark/>
          </w:tcPr>
          <w:p w14:paraId="6F4DA46C" w14:textId="041EC497"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D76C08" w:rsidRPr="00014092" w14:paraId="1FE30C0E" w14:textId="77777777" w:rsidTr="00D76C08">
        <w:trPr>
          <w:trHeight w:val="242"/>
        </w:trPr>
        <w:tc>
          <w:tcPr>
            <w:tcW w:w="632" w:type="dxa"/>
            <w:tcBorders>
              <w:top w:val="nil"/>
              <w:left w:val="nil"/>
              <w:bottom w:val="nil"/>
              <w:right w:val="nil"/>
            </w:tcBorders>
            <w:shd w:val="clear" w:color="D9D9D9" w:fill="D9D9D9"/>
            <w:noWrap/>
            <w:vAlign w:val="bottom"/>
            <w:hideMark/>
          </w:tcPr>
          <w:p w14:paraId="5796C13B" w14:textId="793B8368"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00011</w:t>
            </w:r>
          </w:p>
        </w:tc>
        <w:tc>
          <w:tcPr>
            <w:tcW w:w="777" w:type="dxa"/>
            <w:tcBorders>
              <w:top w:val="nil"/>
              <w:left w:val="nil"/>
              <w:bottom w:val="nil"/>
              <w:right w:val="nil"/>
            </w:tcBorders>
            <w:shd w:val="clear" w:color="D9D9D9" w:fill="D9D9D9"/>
            <w:noWrap/>
            <w:vAlign w:val="bottom"/>
            <w:hideMark/>
          </w:tcPr>
          <w:p w14:paraId="4D7FCDE6" w14:textId="03E6BB0B"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144</w:t>
            </w:r>
          </w:p>
        </w:tc>
        <w:tc>
          <w:tcPr>
            <w:tcW w:w="965" w:type="dxa"/>
            <w:tcBorders>
              <w:top w:val="nil"/>
              <w:left w:val="nil"/>
              <w:bottom w:val="nil"/>
              <w:right w:val="nil"/>
            </w:tcBorders>
            <w:shd w:val="clear" w:color="D9D9D9" w:fill="D9D9D9"/>
            <w:noWrap/>
            <w:vAlign w:val="bottom"/>
            <w:hideMark/>
          </w:tcPr>
          <w:p w14:paraId="3B0AC5C0" w14:textId="2FE8D7AD"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067" w:type="dxa"/>
            <w:tcBorders>
              <w:top w:val="nil"/>
              <w:left w:val="nil"/>
              <w:bottom w:val="nil"/>
              <w:right w:val="nil"/>
            </w:tcBorders>
            <w:shd w:val="clear" w:color="D9D9D9" w:fill="D9D9D9"/>
            <w:noWrap/>
            <w:vAlign w:val="bottom"/>
            <w:hideMark/>
          </w:tcPr>
          <w:p w14:paraId="27511E62" w14:textId="4EFA0816" w:rsidR="00D76C08" w:rsidRPr="00D76C08" w:rsidRDefault="00EE3244" w:rsidP="00D76C08">
            <w:pPr>
              <w:widowControl w:val="0"/>
              <w:kinsoku w:val="0"/>
              <w:overflowPunct w:val="0"/>
              <w:autoSpaceDE w:val="0"/>
              <w:autoSpaceDN w:val="0"/>
              <w:adjustRightInd w:val="0"/>
              <w:snapToGrid w:val="0"/>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1413" w:type="dxa"/>
            <w:tcBorders>
              <w:top w:val="nil"/>
              <w:left w:val="nil"/>
              <w:bottom w:val="nil"/>
              <w:right w:val="nil"/>
            </w:tcBorders>
            <w:shd w:val="clear" w:color="D9D9D9" w:fill="D9D9D9"/>
            <w:noWrap/>
            <w:vAlign w:val="bottom"/>
            <w:hideMark/>
          </w:tcPr>
          <w:p w14:paraId="6E0761F3" w14:textId="66F23C88"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37" w:type="dxa"/>
            <w:tcBorders>
              <w:top w:val="nil"/>
              <w:left w:val="nil"/>
              <w:bottom w:val="nil"/>
              <w:right w:val="nil"/>
            </w:tcBorders>
            <w:shd w:val="clear" w:color="D9D9D9" w:fill="D9D9D9"/>
            <w:noWrap/>
            <w:vAlign w:val="bottom"/>
            <w:hideMark/>
          </w:tcPr>
          <w:p w14:paraId="2C45AB01" w14:textId="5C87E17C"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879" w:type="dxa"/>
            <w:tcBorders>
              <w:top w:val="nil"/>
              <w:left w:val="nil"/>
              <w:bottom w:val="nil"/>
              <w:right w:val="nil"/>
            </w:tcBorders>
            <w:shd w:val="clear" w:color="D9D9D9" w:fill="D9D9D9"/>
            <w:noWrap/>
            <w:vAlign w:val="bottom"/>
            <w:hideMark/>
          </w:tcPr>
          <w:p w14:paraId="07BE056E" w14:textId="65540A43"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D76C08" w:rsidRPr="00014092" w14:paraId="7B5BAD86" w14:textId="77777777" w:rsidTr="00D76C08">
        <w:trPr>
          <w:trHeight w:val="242"/>
        </w:trPr>
        <w:tc>
          <w:tcPr>
            <w:tcW w:w="632" w:type="dxa"/>
            <w:tcBorders>
              <w:top w:val="nil"/>
              <w:left w:val="nil"/>
              <w:bottom w:val="nil"/>
              <w:right w:val="nil"/>
            </w:tcBorders>
            <w:shd w:val="clear" w:color="auto" w:fill="auto"/>
            <w:noWrap/>
            <w:vAlign w:val="bottom"/>
            <w:hideMark/>
          </w:tcPr>
          <w:p w14:paraId="64522650" w14:textId="7B2D2736"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00012</w:t>
            </w:r>
          </w:p>
        </w:tc>
        <w:tc>
          <w:tcPr>
            <w:tcW w:w="777" w:type="dxa"/>
            <w:tcBorders>
              <w:top w:val="nil"/>
              <w:left w:val="nil"/>
              <w:bottom w:val="nil"/>
              <w:right w:val="nil"/>
            </w:tcBorders>
            <w:shd w:val="clear" w:color="auto" w:fill="auto"/>
            <w:noWrap/>
            <w:vAlign w:val="bottom"/>
            <w:hideMark/>
          </w:tcPr>
          <w:p w14:paraId="3E94B1DD" w14:textId="7E3EB610"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sz w:val="15"/>
                <w:szCs w:val="15"/>
              </w:rPr>
              <w:t>263</w:t>
            </w:r>
          </w:p>
        </w:tc>
        <w:tc>
          <w:tcPr>
            <w:tcW w:w="965" w:type="dxa"/>
            <w:tcBorders>
              <w:top w:val="nil"/>
              <w:left w:val="nil"/>
              <w:bottom w:val="nil"/>
              <w:right w:val="nil"/>
            </w:tcBorders>
            <w:shd w:val="clear" w:color="auto" w:fill="auto"/>
            <w:noWrap/>
            <w:vAlign w:val="bottom"/>
            <w:hideMark/>
          </w:tcPr>
          <w:p w14:paraId="69784D37" w14:textId="2632D9DD"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067" w:type="dxa"/>
            <w:tcBorders>
              <w:top w:val="nil"/>
              <w:left w:val="nil"/>
              <w:bottom w:val="nil"/>
              <w:right w:val="nil"/>
            </w:tcBorders>
            <w:shd w:val="clear" w:color="auto" w:fill="auto"/>
            <w:noWrap/>
            <w:vAlign w:val="bottom"/>
            <w:hideMark/>
          </w:tcPr>
          <w:p w14:paraId="47372054" w14:textId="68D189C3" w:rsidR="00D76C08" w:rsidRPr="00D76C08" w:rsidRDefault="00EE3244" w:rsidP="00D76C08">
            <w:pPr>
              <w:widowControl w:val="0"/>
              <w:kinsoku w:val="0"/>
              <w:overflowPunct w:val="0"/>
              <w:autoSpaceDE w:val="0"/>
              <w:autoSpaceDN w:val="0"/>
              <w:adjustRightInd w:val="0"/>
              <w:snapToGrid w:val="0"/>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1413" w:type="dxa"/>
            <w:tcBorders>
              <w:top w:val="nil"/>
              <w:left w:val="nil"/>
              <w:bottom w:val="nil"/>
              <w:right w:val="nil"/>
            </w:tcBorders>
            <w:shd w:val="clear" w:color="auto" w:fill="auto"/>
            <w:noWrap/>
            <w:vAlign w:val="bottom"/>
            <w:hideMark/>
          </w:tcPr>
          <w:p w14:paraId="28E01F31" w14:textId="56788A40"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37" w:type="dxa"/>
            <w:tcBorders>
              <w:top w:val="nil"/>
              <w:left w:val="nil"/>
              <w:bottom w:val="nil"/>
              <w:right w:val="nil"/>
            </w:tcBorders>
            <w:shd w:val="clear" w:color="auto" w:fill="auto"/>
            <w:noWrap/>
            <w:vAlign w:val="bottom"/>
            <w:hideMark/>
          </w:tcPr>
          <w:p w14:paraId="39196B20" w14:textId="7B3E0125"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879" w:type="dxa"/>
            <w:tcBorders>
              <w:top w:val="nil"/>
              <w:left w:val="nil"/>
              <w:bottom w:val="nil"/>
              <w:right w:val="nil"/>
            </w:tcBorders>
            <w:shd w:val="clear" w:color="auto" w:fill="auto"/>
            <w:noWrap/>
            <w:vAlign w:val="bottom"/>
            <w:hideMark/>
          </w:tcPr>
          <w:p w14:paraId="1F2F79AD" w14:textId="6D1B1085" w:rsidR="00D76C08" w:rsidRPr="00D76C08" w:rsidRDefault="00EE3244"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D76C08" w:rsidRPr="00014092" w14:paraId="7B13B6AD" w14:textId="77777777" w:rsidTr="00D76C08">
        <w:trPr>
          <w:trHeight w:val="242"/>
        </w:trPr>
        <w:tc>
          <w:tcPr>
            <w:tcW w:w="632" w:type="dxa"/>
            <w:tcBorders>
              <w:top w:val="nil"/>
              <w:left w:val="nil"/>
              <w:bottom w:val="single" w:sz="4" w:space="0" w:color="000000"/>
              <w:right w:val="nil"/>
            </w:tcBorders>
            <w:shd w:val="clear" w:color="D9D9D9" w:fill="D9D9D9"/>
            <w:noWrap/>
            <w:vAlign w:val="bottom"/>
            <w:hideMark/>
          </w:tcPr>
          <w:p w14:paraId="071CD90E" w14:textId="0E463B54" w:rsidR="00D76C08" w:rsidRPr="00D76C08" w:rsidRDefault="00D76C08" w:rsidP="00D76C08">
            <w:pPr>
              <w:widowControl w:val="0"/>
              <w:kinsoku w:val="0"/>
              <w:overflowPunct w:val="0"/>
              <w:autoSpaceDE w:val="0"/>
              <w:autoSpaceDN w:val="0"/>
              <w:adjustRightInd w:val="0"/>
              <w:snapToGrid w:val="0"/>
              <w:rPr>
                <w:rFonts w:ascii="Arial" w:hAnsi="Arial" w:cs="Arial"/>
                <w:color w:val="000000"/>
                <w:sz w:val="15"/>
                <w:szCs w:val="15"/>
                <w:lang w:eastAsia="ja-JP"/>
              </w:rPr>
            </w:pPr>
            <w:r w:rsidRPr="00D76C08">
              <w:rPr>
                <w:rFonts w:ascii="Arial" w:hAnsi="Arial" w:cs="Arial"/>
                <w:color w:val="000000"/>
                <w:sz w:val="15"/>
                <w:szCs w:val="15"/>
                <w:lang w:eastAsia="ja-JP"/>
              </w:rPr>
              <w:t>00015</w:t>
            </w:r>
          </w:p>
        </w:tc>
        <w:tc>
          <w:tcPr>
            <w:tcW w:w="777" w:type="dxa"/>
            <w:tcBorders>
              <w:top w:val="nil"/>
              <w:left w:val="nil"/>
              <w:bottom w:val="single" w:sz="4" w:space="0" w:color="000000"/>
              <w:right w:val="nil"/>
            </w:tcBorders>
            <w:shd w:val="clear" w:color="D9D9D9" w:fill="D9D9D9"/>
            <w:noWrap/>
            <w:vAlign w:val="bottom"/>
            <w:hideMark/>
          </w:tcPr>
          <w:p w14:paraId="78BFACCC" w14:textId="1CFF7575"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212</w:t>
            </w:r>
          </w:p>
        </w:tc>
        <w:tc>
          <w:tcPr>
            <w:tcW w:w="965" w:type="dxa"/>
            <w:tcBorders>
              <w:top w:val="nil"/>
              <w:left w:val="nil"/>
              <w:bottom w:val="single" w:sz="4" w:space="0" w:color="000000"/>
              <w:right w:val="nil"/>
            </w:tcBorders>
            <w:shd w:val="clear" w:color="D9D9D9" w:fill="D9D9D9"/>
            <w:noWrap/>
            <w:vAlign w:val="bottom"/>
            <w:hideMark/>
          </w:tcPr>
          <w:p w14:paraId="6C550F95"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w:t>
            </w:r>
          </w:p>
        </w:tc>
        <w:tc>
          <w:tcPr>
            <w:tcW w:w="3067" w:type="dxa"/>
            <w:tcBorders>
              <w:top w:val="nil"/>
              <w:left w:val="nil"/>
              <w:bottom w:val="single" w:sz="4" w:space="0" w:color="000000"/>
              <w:right w:val="nil"/>
            </w:tcBorders>
            <w:shd w:val="clear" w:color="D9D9D9" w:fill="D9D9D9"/>
            <w:noWrap/>
            <w:vAlign w:val="bottom"/>
            <w:hideMark/>
          </w:tcPr>
          <w:p w14:paraId="1643C28A" w14:textId="7245AC05" w:rsidR="00D76C08" w:rsidRPr="00D76C08" w:rsidRDefault="00EE3244" w:rsidP="00D76C08">
            <w:pPr>
              <w:widowControl w:val="0"/>
              <w:kinsoku w:val="0"/>
              <w:overflowPunct w:val="0"/>
              <w:autoSpaceDE w:val="0"/>
              <w:autoSpaceDN w:val="0"/>
              <w:adjustRightInd w:val="0"/>
              <w:snapToGrid w:val="0"/>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1413" w:type="dxa"/>
            <w:tcBorders>
              <w:top w:val="nil"/>
              <w:left w:val="nil"/>
              <w:bottom w:val="single" w:sz="4" w:space="0" w:color="000000"/>
              <w:right w:val="nil"/>
            </w:tcBorders>
            <w:shd w:val="clear" w:color="D9D9D9" w:fill="D9D9D9"/>
            <w:noWrap/>
            <w:vAlign w:val="bottom"/>
            <w:hideMark/>
          </w:tcPr>
          <w:p w14:paraId="408AE1E7"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w:t>
            </w:r>
          </w:p>
        </w:tc>
        <w:tc>
          <w:tcPr>
            <w:tcW w:w="937" w:type="dxa"/>
            <w:tcBorders>
              <w:top w:val="nil"/>
              <w:left w:val="nil"/>
              <w:bottom w:val="single" w:sz="4" w:space="0" w:color="000000"/>
              <w:right w:val="nil"/>
            </w:tcBorders>
            <w:shd w:val="clear" w:color="D9D9D9" w:fill="D9D9D9"/>
            <w:noWrap/>
            <w:vAlign w:val="bottom"/>
            <w:hideMark/>
          </w:tcPr>
          <w:p w14:paraId="2B09367B"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w:t>
            </w:r>
          </w:p>
        </w:tc>
        <w:tc>
          <w:tcPr>
            <w:tcW w:w="879" w:type="dxa"/>
            <w:tcBorders>
              <w:top w:val="nil"/>
              <w:left w:val="nil"/>
              <w:bottom w:val="single" w:sz="4" w:space="0" w:color="000000"/>
              <w:right w:val="nil"/>
            </w:tcBorders>
            <w:shd w:val="clear" w:color="D9D9D9" w:fill="D9D9D9"/>
            <w:noWrap/>
            <w:vAlign w:val="bottom"/>
            <w:hideMark/>
          </w:tcPr>
          <w:p w14:paraId="1B7BE52D" w14:textId="77777777" w:rsidR="00D76C08" w:rsidRPr="00D76C08" w:rsidRDefault="00D76C08" w:rsidP="00D76C08">
            <w:pPr>
              <w:widowControl w:val="0"/>
              <w:kinsoku w:val="0"/>
              <w:overflowPunct w:val="0"/>
              <w:autoSpaceDE w:val="0"/>
              <w:autoSpaceDN w:val="0"/>
              <w:adjustRightInd w:val="0"/>
              <w:snapToGrid w:val="0"/>
              <w:jc w:val="center"/>
              <w:rPr>
                <w:rFonts w:ascii="Arial" w:hAnsi="Arial" w:cs="Arial"/>
                <w:color w:val="000000"/>
                <w:sz w:val="15"/>
                <w:szCs w:val="15"/>
                <w:lang w:eastAsia="ja-JP"/>
              </w:rPr>
            </w:pPr>
            <w:r w:rsidRPr="00D76C08">
              <w:rPr>
                <w:rFonts w:ascii="Arial" w:hAnsi="Arial" w:cs="Arial"/>
                <w:color w:val="000000"/>
                <w:sz w:val="15"/>
                <w:szCs w:val="15"/>
                <w:lang w:eastAsia="ja-JP"/>
              </w:rPr>
              <w:t>-</w:t>
            </w:r>
          </w:p>
        </w:tc>
      </w:tr>
    </w:tbl>
    <w:p w14:paraId="029AFC58" w14:textId="77777777" w:rsidR="00014092" w:rsidRDefault="00014092" w:rsidP="00630053">
      <w:pPr>
        <w:jc w:val="both"/>
        <w:rPr>
          <w:rFonts w:ascii="Arial" w:hAnsi="Arial" w:cs="Arial"/>
          <w:color w:val="000000"/>
          <w:sz w:val="20"/>
          <w:szCs w:val="20"/>
        </w:rPr>
      </w:pPr>
    </w:p>
    <w:p w14:paraId="1A30F5F8" w14:textId="32EE18E3" w:rsidR="002350BA" w:rsidRDefault="002350BA" w:rsidP="002350BA">
      <w:pPr>
        <w:pStyle w:val="NormalWeb"/>
        <w:spacing w:before="0" w:beforeAutospacing="0" w:after="0" w:afterAutospacing="0"/>
        <w:jc w:val="both"/>
      </w:pPr>
      <w:r>
        <w:rPr>
          <w:rFonts w:ascii="Arial" w:hAnsi="Arial" w:cs="Arial"/>
          <w:color w:val="000000"/>
          <w:sz w:val="20"/>
          <w:szCs w:val="20"/>
        </w:rPr>
        <w:t xml:space="preserve">To identify the core gene set within the family, we examined the protein clusters constructed above and identified a set of nine genes that were conserved across all the 13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These conserved genes were functionally annotated using the </w:t>
      </w:r>
      <w:proofErr w:type="spellStart"/>
      <w:r>
        <w:rPr>
          <w:rFonts w:ascii="Arial" w:hAnsi="Arial" w:cs="Arial"/>
          <w:color w:val="000000"/>
          <w:sz w:val="20"/>
          <w:szCs w:val="20"/>
        </w:rPr>
        <w:t>Pfam</w:t>
      </w:r>
      <w:proofErr w:type="spellEnd"/>
      <w:r>
        <w:rPr>
          <w:rFonts w:ascii="Arial" w:hAnsi="Arial" w:cs="Arial"/>
          <w:color w:val="000000"/>
          <w:sz w:val="20"/>
          <w:szCs w:val="20"/>
        </w:rPr>
        <w:t xml:space="preserve"> database </w:t>
      </w:r>
      <w:hyperlink r:id="rId31" w:history="1">
        <w:r>
          <w:rPr>
            <w:rStyle w:val="Hyperlink"/>
            <w:rFonts w:ascii="Arial" w:hAnsi="Arial" w:cs="Arial"/>
            <w:color w:val="000000"/>
            <w:sz w:val="20"/>
            <w:szCs w:val="20"/>
          </w:rPr>
          <w:t>[13]</w:t>
        </w:r>
      </w:hyperlink>
      <w:r>
        <w:rPr>
          <w:rFonts w:ascii="Arial" w:hAnsi="Arial" w:cs="Arial"/>
          <w:color w:val="000000"/>
          <w:sz w:val="20"/>
          <w:szCs w:val="20"/>
        </w:rPr>
        <w:t xml:space="preserve"> and the </w:t>
      </w:r>
      <w:proofErr w:type="spellStart"/>
      <w:r>
        <w:rPr>
          <w:rFonts w:ascii="Arial" w:hAnsi="Arial" w:cs="Arial"/>
          <w:color w:val="000000"/>
          <w:sz w:val="20"/>
          <w:szCs w:val="20"/>
        </w:rPr>
        <w:t>HHsearch</w:t>
      </w:r>
      <w:proofErr w:type="spellEnd"/>
      <w:r>
        <w:rPr>
          <w:rFonts w:ascii="Arial" w:hAnsi="Arial" w:cs="Arial"/>
          <w:color w:val="000000"/>
          <w:sz w:val="20"/>
          <w:szCs w:val="20"/>
        </w:rPr>
        <w:t xml:space="preserve"> tool </w:t>
      </w:r>
      <w:hyperlink r:id="rId32" w:history="1">
        <w:r>
          <w:rPr>
            <w:rStyle w:val="Hyperlink"/>
            <w:rFonts w:ascii="Arial" w:hAnsi="Arial" w:cs="Arial"/>
            <w:color w:val="000000"/>
            <w:sz w:val="20"/>
            <w:szCs w:val="20"/>
          </w:rPr>
          <w:t>[14]</w:t>
        </w:r>
      </w:hyperlink>
      <w:r>
        <w:rPr>
          <w:rFonts w:ascii="Arial" w:hAnsi="Arial" w:cs="Arial"/>
          <w:color w:val="000000"/>
          <w:sz w:val="20"/>
          <w:szCs w:val="20"/>
        </w:rPr>
        <w:t xml:space="preserve">, a method with high sensitivity that is frequently employed for phage gene annotations. Among the nine core genes, four were functionally annotated with a high degree of confidence (probability &gt; 90%). This included key genes for tailed phages, such as the </w:t>
      </w:r>
      <w:proofErr w:type="spellStart"/>
      <w:r>
        <w:rPr>
          <w:rFonts w:ascii="Arial" w:hAnsi="Arial" w:cs="Arial"/>
          <w:color w:val="000000"/>
          <w:sz w:val="20"/>
          <w:szCs w:val="20"/>
        </w:rPr>
        <w:t>terminase</w:t>
      </w:r>
      <w:proofErr w:type="spellEnd"/>
      <w:r>
        <w:rPr>
          <w:rFonts w:ascii="Arial" w:hAnsi="Arial" w:cs="Arial"/>
          <w:color w:val="000000"/>
          <w:sz w:val="20"/>
          <w:szCs w:val="20"/>
        </w:rPr>
        <w:t xml:space="preserve"> (PF03354) and the portal protein (PF16510). Additionally, a gene encoding a phage stabilization protein (PF11134) and another for a </w:t>
      </w:r>
      <w:proofErr w:type="spellStart"/>
      <w:r>
        <w:rPr>
          <w:rFonts w:ascii="Arial" w:hAnsi="Arial" w:cs="Arial"/>
          <w:color w:val="000000"/>
          <w:sz w:val="20"/>
          <w:szCs w:val="20"/>
        </w:rPr>
        <w:t>ddrB</w:t>
      </w:r>
      <w:proofErr w:type="spellEnd"/>
      <w:r>
        <w:rPr>
          <w:rFonts w:ascii="Arial" w:hAnsi="Arial" w:cs="Arial"/>
          <w:color w:val="000000"/>
          <w:sz w:val="20"/>
          <w:szCs w:val="20"/>
        </w:rPr>
        <w:t xml:space="preserve">-like </w:t>
      </w:r>
      <w:proofErr w:type="spellStart"/>
      <w:r>
        <w:rPr>
          <w:rFonts w:ascii="Arial" w:hAnsi="Arial" w:cs="Arial"/>
          <w:color w:val="000000"/>
          <w:sz w:val="20"/>
          <w:szCs w:val="20"/>
        </w:rPr>
        <w:t>ParB</w:t>
      </w:r>
      <w:proofErr w:type="spellEnd"/>
      <w:r>
        <w:rPr>
          <w:rFonts w:ascii="Arial" w:hAnsi="Arial" w:cs="Arial"/>
          <w:color w:val="000000"/>
          <w:sz w:val="20"/>
          <w:szCs w:val="20"/>
        </w:rPr>
        <w:t xml:space="preserve"> superfamily domain protein of large size (PF18763) were part of the core gene set. These </w:t>
      </w:r>
      <w:r w:rsidR="000066BF">
        <w:rPr>
          <w:rFonts w:ascii="Arial" w:hAnsi="Arial" w:cs="Arial"/>
          <w:color w:val="000000"/>
          <w:sz w:val="20"/>
          <w:szCs w:val="20"/>
        </w:rPr>
        <w:t xml:space="preserve">core </w:t>
      </w:r>
      <w:r>
        <w:rPr>
          <w:rFonts w:ascii="Arial" w:hAnsi="Arial" w:cs="Arial"/>
          <w:color w:val="000000"/>
          <w:sz w:val="20"/>
          <w:szCs w:val="20"/>
        </w:rPr>
        <w:t>genes accounted for 41.3% of the total genomic region in this family on average. </w:t>
      </w:r>
    </w:p>
    <w:p w14:paraId="2FF72B4F" w14:textId="4CB3EECB" w:rsidR="00630053" w:rsidRDefault="00630053" w:rsidP="00630053"/>
    <w:p w14:paraId="755599DA" w14:textId="77777777" w:rsidR="002350BA" w:rsidRDefault="002350BA" w:rsidP="002350BA">
      <w:pPr>
        <w:pStyle w:val="NormalWeb"/>
        <w:spacing w:before="0" w:beforeAutospacing="0" w:after="0" w:afterAutospacing="0"/>
        <w:jc w:val="both"/>
      </w:pPr>
      <w:r>
        <w:rPr>
          <w:rFonts w:ascii="Arial" w:hAnsi="Arial" w:cs="Arial"/>
          <w:color w:val="000000"/>
          <w:sz w:val="20"/>
          <w:szCs w:val="20"/>
        </w:rPr>
        <w:t xml:space="preserve">Consequently, we propose a new family, </w:t>
      </w:r>
      <w:proofErr w:type="spellStart"/>
      <w:r>
        <w:rPr>
          <w:rFonts w:ascii="Arial" w:hAnsi="Arial" w:cs="Arial"/>
          <w:i/>
          <w:iCs/>
          <w:color w:val="000000"/>
          <w:sz w:val="20"/>
          <w:szCs w:val="20"/>
        </w:rPr>
        <w:t>Toyamaviridae</w:t>
      </w:r>
      <w:proofErr w:type="spellEnd"/>
      <w:r>
        <w:rPr>
          <w:rFonts w:ascii="Arial" w:hAnsi="Arial" w:cs="Arial"/>
          <w:color w:val="000000"/>
          <w:sz w:val="20"/>
          <w:szCs w:val="20"/>
        </w:rPr>
        <w:t>, including three new genera and species (</w:t>
      </w:r>
      <w:proofErr w:type="spellStart"/>
      <w:r>
        <w:rPr>
          <w:rFonts w:ascii="Arial" w:hAnsi="Arial" w:cs="Arial"/>
          <w:i/>
          <w:iCs/>
          <w:color w:val="000000"/>
          <w:sz w:val="20"/>
          <w:szCs w:val="20"/>
        </w:rPr>
        <w:t>Ushigomevirus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gakusyuin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Wadatovirus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soudai</w:t>
      </w:r>
      <w:proofErr w:type="spellEnd"/>
      <w:r>
        <w:rPr>
          <w:rFonts w:ascii="Arial" w:hAnsi="Arial" w:cs="Arial"/>
          <w:i/>
          <w:iCs/>
          <w:color w:val="000000"/>
          <w:sz w:val="20"/>
          <w:szCs w:val="20"/>
        </w:rPr>
        <w:t xml:space="preserve">, and </w:t>
      </w:r>
      <w:proofErr w:type="spellStart"/>
      <w:r>
        <w:rPr>
          <w:rFonts w:ascii="Arial" w:hAnsi="Arial" w:cs="Arial"/>
          <w:i/>
          <w:iCs/>
          <w:color w:val="000000"/>
          <w:sz w:val="20"/>
          <w:szCs w:val="20"/>
        </w:rPr>
        <w:t>Totsukavirus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waseda</w:t>
      </w:r>
      <w:proofErr w:type="spellEnd"/>
      <w:r>
        <w:rPr>
          <w:rFonts w:ascii="Arial" w:hAnsi="Arial" w:cs="Arial"/>
          <w:color w:val="000000"/>
          <w:sz w:val="20"/>
          <w:szCs w:val="20"/>
        </w:rPr>
        <w:t>). The name "Toyama" derives from the name of the city where the research institute of the co-author in the study is located. The names used for the genera (</w:t>
      </w:r>
      <w:proofErr w:type="spellStart"/>
      <w:r>
        <w:rPr>
          <w:rFonts w:ascii="Arial" w:hAnsi="Arial" w:cs="Arial"/>
          <w:color w:val="000000"/>
          <w:sz w:val="20"/>
          <w:szCs w:val="20"/>
        </w:rPr>
        <w:t>Wadato</w:t>
      </w:r>
      <w:proofErr w:type="spellEnd"/>
      <w:r>
        <w:rPr>
          <w:rFonts w:ascii="Arial" w:hAnsi="Arial" w:cs="Arial"/>
          <w:color w:val="000000"/>
          <w:sz w:val="20"/>
          <w:szCs w:val="20"/>
        </w:rPr>
        <w:t xml:space="preserve">, Totsuka, </w:t>
      </w:r>
      <w:proofErr w:type="spellStart"/>
      <w:r>
        <w:rPr>
          <w:rFonts w:ascii="Arial" w:hAnsi="Arial" w:cs="Arial"/>
          <w:color w:val="000000"/>
          <w:sz w:val="20"/>
          <w:szCs w:val="20"/>
        </w:rPr>
        <w:t>Ushigome</w:t>
      </w:r>
      <w:proofErr w:type="spellEnd"/>
      <w:r>
        <w:rPr>
          <w:rFonts w:ascii="Arial" w:hAnsi="Arial" w:cs="Arial"/>
          <w:color w:val="000000"/>
          <w:sz w:val="20"/>
          <w:szCs w:val="20"/>
        </w:rPr>
        <w:t>) are former names to call the region. Species names (</w:t>
      </w:r>
      <w:proofErr w:type="spellStart"/>
      <w:r>
        <w:rPr>
          <w:rFonts w:ascii="Arial" w:hAnsi="Arial" w:cs="Arial"/>
          <w:color w:val="000000"/>
          <w:sz w:val="20"/>
          <w:szCs w:val="20"/>
        </w:rPr>
        <w:t>gakusyuin</w:t>
      </w:r>
      <w:proofErr w:type="spellEnd"/>
      <w:r>
        <w:rPr>
          <w:rFonts w:ascii="Arial" w:hAnsi="Arial" w:cs="Arial"/>
          <w:color w:val="000000"/>
          <w:sz w:val="20"/>
          <w:szCs w:val="20"/>
        </w:rPr>
        <w:t xml:space="preserve">, </w:t>
      </w:r>
      <w:proofErr w:type="spellStart"/>
      <w:r>
        <w:rPr>
          <w:rFonts w:ascii="Arial" w:hAnsi="Arial" w:cs="Arial"/>
          <w:color w:val="000000"/>
          <w:sz w:val="20"/>
          <w:szCs w:val="20"/>
        </w:rPr>
        <w:t>soudai</w:t>
      </w:r>
      <w:proofErr w:type="spellEnd"/>
      <w:r>
        <w:rPr>
          <w:rFonts w:ascii="Arial" w:hAnsi="Arial" w:cs="Arial"/>
          <w:color w:val="000000"/>
          <w:sz w:val="20"/>
          <w:szCs w:val="20"/>
        </w:rPr>
        <w:t xml:space="preserve">, and </w:t>
      </w:r>
      <w:proofErr w:type="spellStart"/>
      <w:r>
        <w:rPr>
          <w:rFonts w:ascii="Arial" w:hAnsi="Arial" w:cs="Arial"/>
          <w:color w:val="000000"/>
          <w:sz w:val="20"/>
          <w:szCs w:val="20"/>
        </w:rPr>
        <w:t>waseda</w:t>
      </w:r>
      <w:proofErr w:type="spellEnd"/>
      <w:r>
        <w:rPr>
          <w:rFonts w:ascii="Arial" w:hAnsi="Arial" w:cs="Arial"/>
          <w:color w:val="000000"/>
          <w:sz w:val="20"/>
          <w:szCs w:val="20"/>
        </w:rPr>
        <w:t>) come from school names around the region. </w:t>
      </w:r>
    </w:p>
    <w:p w14:paraId="6FFC2C77" w14:textId="77777777" w:rsidR="002350BA" w:rsidRDefault="002350BA" w:rsidP="002350BA">
      <w:pPr>
        <w:pStyle w:val="NormalWeb"/>
        <w:spacing w:before="0" w:beforeAutospacing="0" w:after="0" w:afterAutospacing="0"/>
        <w:jc w:val="both"/>
      </w:pPr>
      <w:r>
        <w:rPr>
          <w:rFonts w:ascii="Arial" w:hAnsi="Arial" w:cs="Arial"/>
          <w:color w:val="000000"/>
          <w:sz w:val="20"/>
          <w:szCs w:val="20"/>
        </w:rPr>
        <w:t> </w:t>
      </w:r>
    </w:p>
    <w:p w14:paraId="3842BD34" w14:textId="77777777" w:rsidR="002350BA" w:rsidRDefault="002350BA" w:rsidP="002350BA">
      <w:pPr>
        <w:jc w:val="both"/>
      </w:pPr>
      <w:r>
        <w:rPr>
          <w:rFonts w:ascii="Arial" w:hAnsi="Arial" w:cs="Arial"/>
          <w:color w:val="000000"/>
          <w:sz w:val="20"/>
          <w:szCs w:val="20"/>
        </w:rPr>
        <w:t xml:space="preserve">Based on computational analysis using CRISPR spacer matching </w:t>
      </w:r>
      <w:hyperlink r:id="rId33" w:history="1">
        <w:r>
          <w:rPr>
            <w:rStyle w:val="Hyperlink"/>
            <w:rFonts w:ascii="Arial" w:hAnsi="Arial" w:cs="Arial"/>
            <w:color w:val="000000"/>
            <w:sz w:val="20"/>
            <w:szCs w:val="20"/>
          </w:rPr>
          <w:t>[15]</w:t>
        </w:r>
      </w:hyperlink>
      <w:r>
        <w:rPr>
          <w:rFonts w:ascii="Arial" w:hAnsi="Arial" w:cs="Arial"/>
          <w:color w:val="000000"/>
          <w:sz w:val="20"/>
          <w:szCs w:val="20"/>
        </w:rPr>
        <w:t xml:space="preserve">, their hosts were predicted to be Bacteroidetes phylum, which is one of the major clades in the human gut. Also, they were predicted to have a lysogenic lifestyle based on the encoded genes (BACPHLIP </w:t>
      </w:r>
      <w:hyperlink r:id="rId34" w:history="1">
        <w:r>
          <w:rPr>
            <w:rStyle w:val="Hyperlink"/>
            <w:rFonts w:ascii="Arial" w:hAnsi="Arial" w:cs="Arial"/>
            <w:color w:val="000000"/>
            <w:sz w:val="20"/>
            <w:szCs w:val="20"/>
          </w:rPr>
          <w:t>[16]</w:t>
        </w:r>
      </w:hyperlink>
      <w:r>
        <w:rPr>
          <w:rFonts w:ascii="Arial" w:hAnsi="Arial" w:cs="Arial"/>
          <w:color w:val="000000"/>
          <w:sz w:val="20"/>
          <w:szCs w:val="20"/>
        </w:rPr>
        <w:t>).</w:t>
      </w:r>
    </w:p>
    <w:p w14:paraId="2DDCACC0" w14:textId="77777777" w:rsidR="00FE0EDC" w:rsidRDefault="00FE0EDC" w:rsidP="00630053"/>
    <w:p w14:paraId="452118C1" w14:textId="38453F94" w:rsidR="009C06B7" w:rsidRDefault="009C06B7">
      <w:pPr>
        <w:rPr>
          <w:rFonts w:ascii="Arial" w:hAnsi="Arial" w:cs="Arial"/>
          <w:b/>
        </w:rPr>
      </w:pPr>
    </w:p>
    <w:p w14:paraId="25DE2B01" w14:textId="77777777" w:rsidR="00FE0EDC" w:rsidRDefault="00FE0EDC">
      <w:pPr>
        <w:rPr>
          <w:rFonts w:ascii="Arial" w:hAnsi="Arial" w:cs="Arial"/>
          <w:b/>
        </w:rPr>
      </w:pPr>
      <w:r>
        <w:rPr>
          <w:rFonts w:ascii="Arial" w:hAnsi="Arial" w:cs="Arial"/>
          <w:b/>
        </w:rPr>
        <w:br w:type="page"/>
      </w:r>
    </w:p>
    <w:p w14:paraId="3437A237" w14:textId="69B6D389" w:rsidR="00A174CC" w:rsidRDefault="008815EE">
      <w:pPr>
        <w:spacing w:before="120" w:after="120"/>
        <w:rPr>
          <w:rFonts w:ascii="Arial" w:hAnsi="Arial" w:cs="Arial"/>
          <w:b/>
        </w:rPr>
      </w:pPr>
      <w:r>
        <w:rPr>
          <w:rFonts w:ascii="Arial" w:hAnsi="Arial" w:cs="Arial"/>
          <w:b/>
        </w:rPr>
        <w:lastRenderedPageBreak/>
        <w:t>References</w:t>
      </w:r>
    </w:p>
    <w:p w14:paraId="184D9752" w14:textId="77777777" w:rsidR="007C680B" w:rsidRPr="007C680B" w:rsidRDefault="007C680B" w:rsidP="007C680B">
      <w:pPr>
        <w:pStyle w:val="NormalWeb"/>
        <w:spacing w:before="220" w:beforeAutospacing="0" w:after="220" w:afterAutospacing="0"/>
        <w:ind w:hanging="440"/>
        <w:rPr>
          <w:sz w:val="20"/>
          <w:szCs w:val="20"/>
        </w:rPr>
      </w:pPr>
      <w:r w:rsidRPr="007C680B">
        <w:rPr>
          <w:rFonts w:ascii="Arial" w:hAnsi="Arial" w:cs="Arial"/>
          <w:color w:val="000000"/>
          <w:sz w:val="20"/>
          <w:szCs w:val="20"/>
        </w:rPr>
        <w:t xml:space="preserve">1. </w:t>
      </w:r>
      <w:r w:rsidRPr="007C680B">
        <w:rPr>
          <w:rStyle w:val="apple-tab-span"/>
          <w:rFonts w:ascii="Arial" w:hAnsi="Arial" w:cs="Arial"/>
          <w:color w:val="000000"/>
          <w:sz w:val="20"/>
          <w:szCs w:val="20"/>
        </w:rPr>
        <w:tab/>
      </w:r>
      <w:hyperlink r:id="rId35" w:history="1">
        <w:r w:rsidRPr="007C680B">
          <w:rPr>
            <w:rStyle w:val="Hyperlink"/>
            <w:rFonts w:ascii="Arial" w:hAnsi="Arial" w:cs="Arial"/>
            <w:color w:val="000000"/>
            <w:sz w:val="20"/>
            <w:szCs w:val="20"/>
            <w:u w:val="none"/>
          </w:rPr>
          <w:t>Turner D, Kropinski AM, Adriaenssens EM (2021) A Roadmap for Genome-Based Phage Taxonomy. Viruses 13.: https://doi.org/</w:t>
        </w:r>
      </w:hyperlink>
      <w:hyperlink r:id="rId36" w:history="1">
        <w:r w:rsidRPr="007C680B">
          <w:rPr>
            <w:rStyle w:val="Hyperlink"/>
            <w:rFonts w:ascii="Arial" w:hAnsi="Arial" w:cs="Arial"/>
            <w:color w:val="000000"/>
            <w:sz w:val="20"/>
            <w:szCs w:val="20"/>
            <w:u w:val="none"/>
          </w:rPr>
          <w:t>10.3390/v13030506</w:t>
        </w:r>
      </w:hyperlink>
    </w:p>
    <w:p w14:paraId="73B2D99C"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2. </w:t>
      </w:r>
      <w:r w:rsidRPr="007C680B">
        <w:rPr>
          <w:rStyle w:val="apple-tab-span"/>
          <w:rFonts w:ascii="Arial" w:hAnsi="Arial" w:cs="Arial"/>
          <w:color w:val="000000"/>
          <w:sz w:val="20"/>
          <w:szCs w:val="20"/>
        </w:rPr>
        <w:tab/>
      </w:r>
      <w:hyperlink r:id="rId37" w:history="1">
        <w:r w:rsidRPr="007C680B">
          <w:rPr>
            <w:rStyle w:val="Hyperlink"/>
            <w:rFonts w:ascii="Arial" w:hAnsi="Arial" w:cs="Arial"/>
            <w:color w:val="000000"/>
            <w:sz w:val="20"/>
            <w:szCs w:val="20"/>
            <w:u w:val="none"/>
          </w:rPr>
          <w:t xml:space="preserve">Nishijima S, Nagata N, </w:t>
        </w:r>
        <w:proofErr w:type="spellStart"/>
        <w:r w:rsidRPr="007C680B">
          <w:rPr>
            <w:rStyle w:val="Hyperlink"/>
            <w:rFonts w:ascii="Arial" w:hAnsi="Arial" w:cs="Arial"/>
            <w:color w:val="000000"/>
            <w:sz w:val="20"/>
            <w:szCs w:val="20"/>
            <w:u w:val="none"/>
          </w:rPr>
          <w:t>Kiguchi</w:t>
        </w:r>
        <w:proofErr w:type="spellEnd"/>
        <w:r w:rsidRPr="007C680B">
          <w:rPr>
            <w:rStyle w:val="Hyperlink"/>
            <w:rFonts w:ascii="Arial" w:hAnsi="Arial" w:cs="Arial"/>
            <w:color w:val="000000"/>
            <w:sz w:val="20"/>
            <w:szCs w:val="20"/>
            <w:u w:val="none"/>
          </w:rPr>
          <w:t xml:space="preserve"> Y, et al (2022) Extensive gut virome variation and its associations with host and environmental factors in a population-level cohort. Nat </w:t>
        </w:r>
        <w:proofErr w:type="spellStart"/>
        <w:r w:rsidRPr="007C680B">
          <w:rPr>
            <w:rStyle w:val="Hyperlink"/>
            <w:rFonts w:ascii="Arial" w:hAnsi="Arial" w:cs="Arial"/>
            <w:color w:val="000000"/>
            <w:sz w:val="20"/>
            <w:szCs w:val="20"/>
            <w:u w:val="none"/>
          </w:rPr>
          <w:t>Commun</w:t>
        </w:r>
        <w:proofErr w:type="spellEnd"/>
        <w:r w:rsidRPr="007C680B">
          <w:rPr>
            <w:rStyle w:val="Hyperlink"/>
            <w:rFonts w:ascii="Arial" w:hAnsi="Arial" w:cs="Arial"/>
            <w:color w:val="000000"/>
            <w:sz w:val="20"/>
            <w:szCs w:val="20"/>
            <w:u w:val="none"/>
          </w:rPr>
          <w:t xml:space="preserve"> 13:5252</w:t>
        </w:r>
      </w:hyperlink>
    </w:p>
    <w:p w14:paraId="2F53380C"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3. </w:t>
      </w:r>
      <w:r w:rsidRPr="007C680B">
        <w:rPr>
          <w:rStyle w:val="apple-tab-span"/>
          <w:rFonts w:ascii="Arial" w:hAnsi="Arial" w:cs="Arial"/>
          <w:color w:val="000000"/>
          <w:sz w:val="20"/>
          <w:szCs w:val="20"/>
        </w:rPr>
        <w:tab/>
      </w:r>
      <w:hyperlink r:id="rId38" w:history="1">
        <w:r w:rsidRPr="007C680B">
          <w:rPr>
            <w:rStyle w:val="Hyperlink"/>
            <w:rFonts w:ascii="Arial" w:hAnsi="Arial" w:cs="Arial"/>
            <w:color w:val="000000"/>
            <w:sz w:val="20"/>
            <w:szCs w:val="20"/>
            <w:u w:val="none"/>
          </w:rPr>
          <w:t>Nayfach S, Camargo AP, Schulz F, et al (2020) CheckV assesses the quality and completeness of metagenome-assembled viral genomes. Nat Biotechnol. https://doi.org/</w:t>
        </w:r>
      </w:hyperlink>
      <w:hyperlink r:id="rId39" w:history="1">
        <w:r w:rsidRPr="007C680B">
          <w:rPr>
            <w:rStyle w:val="Hyperlink"/>
            <w:rFonts w:ascii="Arial" w:hAnsi="Arial" w:cs="Arial"/>
            <w:color w:val="000000"/>
            <w:sz w:val="20"/>
            <w:szCs w:val="20"/>
            <w:u w:val="none"/>
          </w:rPr>
          <w:t>10.1038/s41587-020-00774-7</w:t>
        </w:r>
      </w:hyperlink>
    </w:p>
    <w:p w14:paraId="269A004C"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4. </w:t>
      </w:r>
      <w:r w:rsidRPr="007C680B">
        <w:rPr>
          <w:rStyle w:val="apple-tab-span"/>
          <w:rFonts w:ascii="Arial" w:hAnsi="Arial" w:cs="Arial"/>
          <w:color w:val="000000"/>
          <w:sz w:val="20"/>
          <w:szCs w:val="20"/>
        </w:rPr>
        <w:tab/>
      </w:r>
      <w:hyperlink r:id="rId40" w:history="1">
        <w:r w:rsidRPr="007C680B">
          <w:rPr>
            <w:rStyle w:val="Hyperlink"/>
            <w:rFonts w:ascii="Arial" w:hAnsi="Arial" w:cs="Arial"/>
            <w:color w:val="000000"/>
            <w:sz w:val="20"/>
            <w:szCs w:val="20"/>
            <w:u w:val="none"/>
          </w:rPr>
          <w:t>Huerta-</w:t>
        </w:r>
        <w:proofErr w:type="spellStart"/>
        <w:r w:rsidRPr="007C680B">
          <w:rPr>
            <w:rStyle w:val="Hyperlink"/>
            <w:rFonts w:ascii="Arial" w:hAnsi="Arial" w:cs="Arial"/>
            <w:color w:val="000000"/>
            <w:sz w:val="20"/>
            <w:szCs w:val="20"/>
            <w:u w:val="none"/>
          </w:rPr>
          <w:t>Cepas</w:t>
        </w:r>
        <w:proofErr w:type="spellEnd"/>
        <w:r w:rsidRPr="007C680B">
          <w:rPr>
            <w:rStyle w:val="Hyperlink"/>
            <w:rFonts w:ascii="Arial" w:hAnsi="Arial" w:cs="Arial"/>
            <w:color w:val="000000"/>
            <w:sz w:val="20"/>
            <w:szCs w:val="20"/>
            <w:u w:val="none"/>
          </w:rPr>
          <w:t xml:space="preserve"> J, </w:t>
        </w:r>
        <w:proofErr w:type="spellStart"/>
        <w:r w:rsidRPr="007C680B">
          <w:rPr>
            <w:rStyle w:val="Hyperlink"/>
            <w:rFonts w:ascii="Arial" w:hAnsi="Arial" w:cs="Arial"/>
            <w:color w:val="000000"/>
            <w:sz w:val="20"/>
            <w:szCs w:val="20"/>
            <w:u w:val="none"/>
          </w:rPr>
          <w:t>Forslund</w:t>
        </w:r>
        <w:proofErr w:type="spellEnd"/>
        <w:r w:rsidRPr="007C680B">
          <w:rPr>
            <w:rStyle w:val="Hyperlink"/>
            <w:rFonts w:ascii="Arial" w:hAnsi="Arial" w:cs="Arial"/>
            <w:color w:val="000000"/>
            <w:sz w:val="20"/>
            <w:szCs w:val="20"/>
            <w:u w:val="none"/>
          </w:rPr>
          <w:t xml:space="preserve"> K, Coelho LP, et al (2017) Fast Genome-Wide Functional Annotation through </w:t>
        </w:r>
        <w:proofErr w:type="spellStart"/>
        <w:r w:rsidRPr="007C680B">
          <w:rPr>
            <w:rStyle w:val="Hyperlink"/>
            <w:rFonts w:ascii="Arial" w:hAnsi="Arial" w:cs="Arial"/>
            <w:color w:val="000000"/>
            <w:sz w:val="20"/>
            <w:szCs w:val="20"/>
            <w:u w:val="none"/>
          </w:rPr>
          <w:t>Orthology</w:t>
        </w:r>
        <w:proofErr w:type="spellEnd"/>
        <w:r w:rsidRPr="007C680B">
          <w:rPr>
            <w:rStyle w:val="Hyperlink"/>
            <w:rFonts w:ascii="Arial" w:hAnsi="Arial" w:cs="Arial"/>
            <w:color w:val="000000"/>
            <w:sz w:val="20"/>
            <w:szCs w:val="20"/>
            <w:u w:val="none"/>
          </w:rPr>
          <w:t xml:space="preserve"> Assignment by </w:t>
        </w:r>
        <w:proofErr w:type="spellStart"/>
        <w:r w:rsidRPr="007C680B">
          <w:rPr>
            <w:rStyle w:val="Hyperlink"/>
            <w:rFonts w:ascii="Arial" w:hAnsi="Arial" w:cs="Arial"/>
            <w:color w:val="000000"/>
            <w:sz w:val="20"/>
            <w:szCs w:val="20"/>
            <w:u w:val="none"/>
          </w:rPr>
          <w:t>eggNOG</w:t>
        </w:r>
        <w:proofErr w:type="spellEnd"/>
        <w:r w:rsidRPr="007C680B">
          <w:rPr>
            <w:rStyle w:val="Hyperlink"/>
            <w:rFonts w:ascii="Arial" w:hAnsi="Arial" w:cs="Arial"/>
            <w:color w:val="000000"/>
            <w:sz w:val="20"/>
            <w:szCs w:val="20"/>
            <w:u w:val="none"/>
          </w:rPr>
          <w:t xml:space="preserve">-Mapper. Mol Biol </w:t>
        </w:r>
        <w:proofErr w:type="spellStart"/>
        <w:r w:rsidRPr="007C680B">
          <w:rPr>
            <w:rStyle w:val="Hyperlink"/>
            <w:rFonts w:ascii="Arial" w:hAnsi="Arial" w:cs="Arial"/>
            <w:color w:val="000000"/>
            <w:sz w:val="20"/>
            <w:szCs w:val="20"/>
            <w:u w:val="none"/>
          </w:rPr>
          <w:t>Evol</w:t>
        </w:r>
        <w:proofErr w:type="spellEnd"/>
        <w:r w:rsidRPr="007C680B">
          <w:rPr>
            <w:rStyle w:val="Hyperlink"/>
            <w:rFonts w:ascii="Arial" w:hAnsi="Arial" w:cs="Arial"/>
            <w:color w:val="000000"/>
            <w:sz w:val="20"/>
            <w:szCs w:val="20"/>
            <w:u w:val="none"/>
          </w:rPr>
          <w:t xml:space="preserve"> 34:2115–2122</w:t>
        </w:r>
      </w:hyperlink>
    </w:p>
    <w:p w14:paraId="7D0A3893"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5. </w:t>
      </w:r>
      <w:r w:rsidRPr="007C680B">
        <w:rPr>
          <w:rStyle w:val="apple-tab-span"/>
          <w:rFonts w:ascii="Arial" w:hAnsi="Arial" w:cs="Arial"/>
          <w:color w:val="000000"/>
          <w:sz w:val="20"/>
          <w:szCs w:val="20"/>
        </w:rPr>
        <w:tab/>
      </w:r>
      <w:hyperlink r:id="rId41" w:history="1">
        <w:r w:rsidRPr="007C680B">
          <w:rPr>
            <w:rStyle w:val="Hyperlink"/>
            <w:rFonts w:ascii="Arial" w:hAnsi="Arial" w:cs="Arial"/>
            <w:color w:val="000000"/>
            <w:sz w:val="20"/>
            <w:szCs w:val="20"/>
            <w:u w:val="none"/>
          </w:rPr>
          <w:t xml:space="preserve">Bin Jang H, Bolduc B, </w:t>
        </w:r>
        <w:proofErr w:type="spellStart"/>
        <w:r w:rsidRPr="007C680B">
          <w:rPr>
            <w:rStyle w:val="Hyperlink"/>
            <w:rFonts w:ascii="Arial" w:hAnsi="Arial" w:cs="Arial"/>
            <w:color w:val="000000"/>
            <w:sz w:val="20"/>
            <w:szCs w:val="20"/>
            <w:u w:val="none"/>
          </w:rPr>
          <w:t>Zablocki</w:t>
        </w:r>
        <w:proofErr w:type="spellEnd"/>
        <w:r w:rsidRPr="007C680B">
          <w:rPr>
            <w:rStyle w:val="Hyperlink"/>
            <w:rFonts w:ascii="Arial" w:hAnsi="Arial" w:cs="Arial"/>
            <w:color w:val="000000"/>
            <w:sz w:val="20"/>
            <w:szCs w:val="20"/>
            <w:u w:val="none"/>
          </w:rPr>
          <w:t xml:space="preserve"> O, et al (2019) Taxonomic assignment of uncultivated prokaryotic virus genomes is enabled by gene-sharing networks. Nat </w:t>
        </w:r>
        <w:proofErr w:type="spellStart"/>
        <w:r w:rsidRPr="007C680B">
          <w:rPr>
            <w:rStyle w:val="Hyperlink"/>
            <w:rFonts w:ascii="Arial" w:hAnsi="Arial" w:cs="Arial"/>
            <w:color w:val="000000"/>
            <w:sz w:val="20"/>
            <w:szCs w:val="20"/>
            <w:u w:val="none"/>
          </w:rPr>
          <w:t>Biotechnol</w:t>
        </w:r>
        <w:proofErr w:type="spellEnd"/>
        <w:r w:rsidRPr="007C680B">
          <w:rPr>
            <w:rStyle w:val="Hyperlink"/>
            <w:rFonts w:ascii="Arial" w:hAnsi="Arial" w:cs="Arial"/>
            <w:color w:val="000000"/>
            <w:sz w:val="20"/>
            <w:szCs w:val="20"/>
            <w:u w:val="none"/>
          </w:rPr>
          <w:t xml:space="preserve"> 37:632–639</w:t>
        </w:r>
      </w:hyperlink>
    </w:p>
    <w:p w14:paraId="0C295EDC"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6. </w:t>
      </w:r>
      <w:r w:rsidRPr="007C680B">
        <w:rPr>
          <w:rStyle w:val="apple-tab-span"/>
          <w:rFonts w:ascii="Arial" w:hAnsi="Arial" w:cs="Arial"/>
          <w:color w:val="000000"/>
          <w:sz w:val="20"/>
          <w:szCs w:val="20"/>
        </w:rPr>
        <w:tab/>
      </w:r>
      <w:hyperlink r:id="rId42" w:history="1">
        <w:proofErr w:type="spellStart"/>
        <w:r w:rsidRPr="007C680B">
          <w:rPr>
            <w:rStyle w:val="Hyperlink"/>
            <w:rFonts w:ascii="Arial" w:hAnsi="Arial" w:cs="Arial"/>
            <w:color w:val="000000"/>
            <w:sz w:val="20"/>
            <w:szCs w:val="20"/>
            <w:u w:val="none"/>
          </w:rPr>
          <w:t>Buchfink</w:t>
        </w:r>
        <w:proofErr w:type="spellEnd"/>
        <w:r w:rsidRPr="007C680B">
          <w:rPr>
            <w:rStyle w:val="Hyperlink"/>
            <w:rFonts w:ascii="Arial" w:hAnsi="Arial" w:cs="Arial"/>
            <w:color w:val="000000"/>
            <w:sz w:val="20"/>
            <w:szCs w:val="20"/>
            <w:u w:val="none"/>
          </w:rPr>
          <w:t xml:space="preserve"> B, </w:t>
        </w:r>
        <w:proofErr w:type="spellStart"/>
        <w:r w:rsidRPr="007C680B">
          <w:rPr>
            <w:rStyle w:val="Hyperlink"/>
            <w:rFonts w:ascii="Arial" w:hAnsi="Arial" w:cs="Arial"/>
            <w:color w:val="000000"/>
            <w:sz w:val="20"/>
            <w:szCs w:val="20"/>
            <w:u w:val="none"/>
          </w:rPr>
          <w:t>Xie</w:t>
        </w:r>
        <w:proofErr w:type="spellEnd"/>
        <w:r w:rsidRPr="007C680B">
          <w:rPr>
            <w:rStyle w:val="Hyperlink"/>
            <w:rFonts w:ascii="Arial" w:hAnsi="Arial" w:cs="Arial"/>
            <w:color w:val="000000"/>
            <w:sz w:val="20"/>
            <w:szCs w:val="20"/>
            <w:u w:val="none"/>
          </w:rPr>
          <w:t xml:space="preserve"> C, </w:t>
        </w:r>
        <w:proofErr w:type="spellStart"/>
        <w:r w:rsidRPr="007C680B">
          <w:rPr>
            <w:rStyle w:val="Hyperlink"/>
            <w:rFonts w:ascii="Arial" w:hAnsi="Arial" w:cs="Arial"/>
            <w:color w:val="000000"/>
            <w:sz w:val="20"/>
            <w:szCs w:val="20"/>
            <w:u w:val="none"/>
          </w:rPr>
          <w:t>Huson</w:t>
        </w:r>
        <w:proofErr w:type="spellEnd"/>
        <w:r w:rsidRPr="007C680B">
          <w:rPr>
            <w:rStyle w:val="Hyperlink"/>
            <w:rFonts w:ascii="Arial" w:hAnsi="Arial" w:cs="Arial"/>
            <w:color w:val="000000"/>
            <w:sz w:val="20"/>
            <w:szCs w:val="20"/>
            <w:u w:val="none"/>
          </w:rPr>
          <w:t xml:space="preserve"> DH (2015) Fast and sensitive protein alignment using DIAMOND. Nat Methods 12:59–60</w:t>
        </w:r>
      </w:hyperlink>
    </w:p>
    <w:p w14:paraId="2A28D05A"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7. </w:t>
      </w:r>
      <w:r w:rsidRPr="007C680B">
        <w:rPr>
          <w:rStyle w:val="apple-tab-span"/>
          <w:rFonts w:ascii="Arial" w:hAnsi="Arial" w:cs="Arial"/>
          <w:color w:val="000000"/>
          <w:sz w:val="20"/>
          <w:szCs w:val="20"/>
        </w:rPr>
        <w:tab/>
      </w:r>
      <w:hyperlink r:id="rId43" w:history="1">
        <w:r w:rsidRPr="007C680B">
          <w:rPr>
            <w:rStyle w:val="Hyperlink"/>
            <w:rFonts w:ascii="Arial" w:hAnsi="Arial" w:cs="Arial"/>
            <w:color w:val="000000"/>
            <w:sz w:val="20"/>
            <w:szCs w:val="20"/>
            <w:u w:val="none"/>
          </w:rPr>
          <w:t xml:space="preserve">Van </w:t>
        </w:r>
        <w:proofErr w:type="spellStart"/>
        <w:r w:rsidRPr="007C680B">
          <w:rPr>
            <w:rStyle w:val="Hyperlink"/>
            <w:rFonts w:ascii="Arial" w:hAnsi="Arial" w:cs="Arial"/>
            <w:color w:val="000000"/>
            <w:sz w:val="20"/>
            <w:szCs w:val="20"/>
            <w:u w:val="none"/>
          </w:rPr>
          <w:t>Dongen</w:t>
        </w:r>
        <w:proofErr w:type="spellEnd"/>
        <w:r w:rsidRPr="007C680B">
          <w:rPr>
            <w:rStyle w:val="Hyperlink"/>
            <w:rFonts w:ascii="Arial" w:hAnsi="Arial" w:cs="Arial"/>
            <w:color w:val="000000"/>
            <w:sz w:val="20"/>
            <w:szCs w:val="20"/>
            <w:u w:val="none"/>
          </w:rPr>
          <w:t xml:space="preserve"> S (2008) Graph Clustering Via a Discrete Uncoupling Process. SIAM J Matrix Anal Appl 30:121–141</w:t>
        </w:r>
      </w:hyperlink>
    </w:p>
    <w:p w14:paraId="7ACDC989"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8. </w:t>
      </w:r>
      <w:r w:rsidRPr="007C680B">
        <w:rPr>
          <w:rStyle w:val="apple-tab-span"/>
          <w:rFonts w:ascii="Arial" w:hAnsi="Arial" w:cs="Arial"/>
          <w:color w:val="000000"/>
          <w:sz w:val="20"/>
          <w:szCs w:val="20"/>
        </w:rPr>
        <w:tab/>
      </w:r>
      <w:hyperlink r:id="rId44" w:history="1">
        <w:r w:rsidRPr="007C680B">
          <w:rPr>
            <w:rStyle w:val="Hyperlink"/>
            <w:rFonts w:ascii="Arial" w:hAnsi="Arial" w:cs="Arial"/>
            <w:color w:val="000000"/>
            <w:sz w:val="20"/>
            <w:szCs w:val="20"/>
            <w:u w:val="none"/>
          </w:rPr>
          <w:t xml:space="preserve">Guerin E, </w:t>
        </w:r>
        <w:proofErr w:type="spellStart"/>
        <w:r w:rsidRPr="007C680B">
          <w:rPr>
            <w:rStyle w:val="Hyperlink"/>
            <w:rFonts w:ascii="Arial" w:hAnsi="Arial" w:cs="Arial"/>
            <w:color w:val="000000"/>
            <w:sz w:val="20"/>
            <w:szCs w:val="20"/>
            <w:u w:val="none"/>
          </w:rPr>
          <w:t>Shkoporov</w:t>
        </w:r>
        <w:proofErr w:type="spellEnd"/>
        <w:r w:rsidRPr="007C680B">
          <w:rPr>
            <w:rStyle w:val="Hyperlink"/>
            <w:rFonts w:ascii="Arial" w:hAnsi="Arial" w:cs="Arial"/>
            <w:color w:val="000000"/>
            <w:sz w:val="20"/>
            <w:szCs w:val="20"/>
            <w:u w:val="none"/>
          </w:rPr>
          <w:t xml:space="preserve"> A, Stockdale SR, et al (2018) Biology and Taxonomy of </w:t>
        </w:r>
        <w:proofErr w:type="spellStart"/>
        <w:r w:rsidRPr="007C680B">
          <w:rPr>
            <w:rStyle w:val="Hyperlink"/>
            <w:rFonts w:ascii="Arial" w:hAnsi="Arial" w:cs="Arial"/>
            <w:color w:val="000000"/>
            <w:sz w:val="20"/>
            <w:szCs w:val="20"/>
            <w:u w:val="none"/>
          </w:rPr>
          <w:t>crAss</w:t>
        </w:r>
        <w:proofErr w:type="spellEnd"/>
        <w:r w:rsidRPr="007C680B">
          <w:rPr>
            <w:rStyle w:val="Hyperlink"/>
            <w:rFonts w:ascii="Arial" w:hAnsi="Arial" w:cs="Arial"/>
            <w:color w:val="000000"/>
            <w:sz w:val="20"/>
            <w:szCs w:val="20"/>
            <w:u w:val="none"/>
          </w:rPr>
          <w:t>-like Bacteriophages, the Most Abundant Virus in the Human Gut. Cell Host Microbe 24:653–664.e6</w:t>
        </w:r>
      </w:hyperlink>
    </w:p>
    <w:p w14:paraId="43B9797E"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9. </w:t>
      </w:r>
      <w:r w:rsidRPr="007C680B">
        <w:rPr>
          <w:rStyle w:val="apple-tab-span"/>
          <w:rFonts w:ascii="Arial" w:hAnsi="Arial" w:cs="Arial"/>
          <w:color w:val="000000"/>
          <w:sz w:val="20"/>
          <w:szCs w:val="20"/>
        </w:rPr>
        <w:tab/>
      </w:r>
      <w:hyperlink r:id="rId45" w:history="1">
        <w:proofErr w:type="spellStart"/>
        <w:r w:rsidRPr="007C680B">
          <w:rPr>
            <w:rStyle w:val="Hyperlink"/>
            <w:rFonts w:ascii="Arial" w:hAnsi="Arial" w:cs="Arial"/>
            <w:color w:val="000000"/>
            <w:sz w:val="20"/>
            <w:szCs w:val="20"/>
            <w:u w:val="none"/>
          </w:rPr>
          <w:t>Katoh</w:t>
        </w:r>
        <w:proofErr w:type="spellEnd"/>
        <w:r w:rsidRPr="007C680B">
          <w:rPr>
            <w:rStyle w:val="Hyperlink"/>
            <w:rFonts w:ascii="Arial" w:hAnsi="Arial" w:cs="Arial"/>
            <w:color w:val="000000"/>
            <w:sz w:val="20"/>
            <w:szCs w:val="20"/>
            <w:u w:val="none"/>
          </w:rPr>
          <w:t xml:space="preserve"> K, </w:t>
        </w:r>
        <w:proofErr w:type="spellStart"/>
        <w:r w:rsidRPr="007C680B">
          <w:rPr>
            <w:rStyle w:val="Hyperlink"/>
            <w:rFonts w:ascii="Arial" w:hAnsi="Arial" w:cs="Arial"/>
            <w:color w:val="000000"/>
            <w:sz w:val="20"/>
            <w:szCs w:val="20"/>
            <w:u w:val="none"/>
          </w:rPr>
          <w:t>Rozewicki</w:t>
        </w:r>
        <w:proofErr w:type="spellEnd"/>
        <w:r w:rsidRPr="007C680B">
          <w:rPr>
            <w:rStyle w:val="Hyperlink"/>
            <w:rFonts w:ascii="Arial" w:hAnsi="Arial" w:cs="Arial"/>
            <w:color w:val="000000"/>
            <w:sz w:val="20"/>
            <w:szCs w:val="20"/>
            <w:u w:val="none"/>
          </w:rPr>
          <w:t xml:space="preserve"> J, Yamada KD (2019) MAFFT online service: multiple sequence alignment, interactive sequence choice and visualization. Brief </w:t>
        </w:r>
        <w:proofErr w:type="spellStart"/>
        <w:r w:rsidRPr="007C680B">
          <w:rPr>
            <w:rStyle w:val="Hyperlink"/>
            <w:rFonts w:ascii="Arial" w:hAnsi="Arial" w:cs="Arial"/>
            <w:color w:val="000000"/>
            <w:sz w:val="20"/>
            <w:szCs w:val="20"/>
            <w:u w:val="none"/>
          </w:rPr>
          <w:t>Bioinform</w:t>
        </w:r>
        <w:proofErr w:type="spellEnd"/>
        <w:r w:rsidRPr="007C680B">
          <w:rPr>
            <w:rStyle w:val="Hyperlink"/>
            <w:rFonts w:ascii="Arial" w:hAnsi="Arial" w:cs="Arial"/>
            <w:color w:val="000000"/>
            <w:sz w:val="20"/>
            <w:szCs w:val="20"/>
            <w:u w:val="none"/>
          </w:rPr>
          <w:t xml:space="preserve"> 20:1160–1166</w:t>
        </w:r>
      </w:hyperlink>
    </w:p>
    <w:p w14:paraId="3D769FD4"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10. </w:t>
      </w:r>
      <w:r w:rsidRPr="007C680B">
        <w:rPr>
          <w:rStyle w:val="apple-tab-span"/>
          <w:rFonts w:ascii="Arial" w:hAnsi="Arial" w:cs="Arial"/>
          <w:color w:val="000000"/>
          <w:sz w:val="20"/>
          <w:szCs w:val="20"/>
        </w:rPr>
        <w:tab/>
      </w:r>
      <w:hyperlink r:id="rId46" w:history="1">
        <w:r w:rsidRPr="007C680B">
          <w:rPr>
            <w:rStyle w:val="Hyperlink"/>
            <w:rFonts w:ascii="Arial" w:hAnsi="Arial" w:cs="Arial"/>
            <w:color w:val="000000"/>
            <w:sz w:val="20"/>
            <w:szCs w:val="20"/>
            <w:u w:val="none"/>
          </w:rPr>
          <w:t xml:space="preserve">Capella-Gutiérrez S, Silla-Martínez JM, </w:t>
        </w:r>
        <w:proofErr w:type="spellStart"/>
        <w:r w:rsidRPr="007C680B">
          <w:rPr>
            <w:rStyle w:val="Hyperlink"/>
            <w:rFonts w:ascii="Arial" w:hAnsi="Arial" w:cs="Arial"/>
            <w:color w:val="000000"/>
            <w:sz w:val="20"/>
            <w:szCs w:val="20"/>
            <w:u w:val="none"/>
          </w:rPr>
          <w:t>Gabaldón</w:t>
        </w:r>
        <w:proofErr w:type="spellEnd"/>
        <w:r w:rsidRPr="007C680B">
          <w:rPr>
            <w:rStyle w:val="Hyperlink"/>
            <w:rFonts w:ascii="Arial" w:hAnsi="Arial" w:cs="Arial"/>
            <w:color w:val="000000"/>
            <w:sz w:val="20"/>
            <w:szCs w:val="20"/>
            <w:u w:val="none"/>
          </w:rPr>
          <w:t xml:space="preserve"> T (2009) </w:t>
        </w:r>
        <w:proofErr w:type="spellStart"/>
        <w:r w:rsidRPr="007C680B">
          <w:rPr>
            <w:rStyle w:val="Hyperlink"/>
            <w:rFonts w:ascii="Arial" w:hAnsi="Arial" w:cs="Arial"/>
            <w:color w:val="000000"/>
            <w:sz w:val="20"/>
            <w:szCs w:val="20"/>
            <w:u w:val="none"/>
          </w:rPr>
          <w:t>trimAl</w:t>
        </w:r>
        <w:proofErr w:type="spellEnd"/>
        <w:r w:rsidRPr="007C680B">
          <w:rPr>
            <w:rStyle w:val="Hyperlink"/>
            <w:rFonts w:ascii="Arial" w:hAnsi="Arial" w:cs="Arial"/>
            <w:color w:val="000000"/>
            <w:sz w:val="20"/>
            <w:szCs w:val="20"/>
            <w:u w:val="none"/>
          </w:rPr>
          <w:t>: a tool for automated alignment trimming in large-scale phylogenetic analyses. Bioinformatics 25:1972–1973</w:t>
        </w:r>
      </w:hyperlink>
    </w:p>
    <w:p w14:paraId="0ADE65AE"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11. </w:t>
      </w:r>
      <w:r w:rsidRPr="007C680B">
        <w:rPr>
          <w:rStyle w:val="apple-tab-span"/>
          <w:rFonts w:ascii="Arial" w:hAnsi="Arial" w:cs="Arial"/>
          <w:color w:val="000000"/>
          <w:sz w:val="20"/>
          <w:szCs w:val="20"/>
        </w:rPr>
        <w:tab/>
      </w:r>
      <w:hyperlink r:id="rId47" w:history="1">
        <w:proofErr w:type="spellStart"/>
        <w:r w:rsidRPr="007C680B">
          <w:rPr>
            <w:rStyle w:val="Hyperlink"/>
            <w:rFonts w:ascii="Arial" w:hAnsi="Arial" w:cs="Arial"/>
            <w:color w:val="000000"/>
            <w:sz w:val="20"/>
            <w:szCs w:val="20"/>
            <w:u w:val="none"/>
          </w:rPr>
          <w:t>Letunic</w:t>
        </w:r>
        <w:proofErr w:type="spellEnd"/>
        <w:r w:rsidRPr="007C680B">
          <w:rPr>
            <w:rStyle w:val="Hyperlink"/>
            <w:rFonts w:ascii="Arial" w:hAnsi="Arial" w:cs="Arial"/>
            <w:color w:val="000000"/>
            <w:sz w:val="20"/>
            <w:szCs w:val="20"/>
            <w:u w:val="none"/>
          </w:rPr>
          <w:t xml:space="preserve"> I, Bork P (2019) Interactive Tree </w:t>
        </w:r>
        <w:proofErr w:type="gramStart"/>
        <w:r w:rsidRPr="007C680B">
          <w:rPr>
            <w:rStyle w:val="Hyperlink"/>
            <w:rFonts w:ascii="Arial" w:hAnsi="Arial" w:cs="Arial"/>
            <w:color w:val="000000"/>
            <w:sz w:val="20"/>
            <w:szCs w:val="20"/>
            <w:u w:val="none"/>
          </w:rPr>
          <w:t>Of</w:t>
        </w:r>
        <w:proofErr w:type="gramEnd"/>
        <w:r w:rsidRPr="007C680B">
          <w:rPr>
            <w:rStyle w:val="Hyperlink"/>
            <w:rFonts w:ascii="Arial" w:hAnsi="Arial" w:cs="Arial"/>
            <w:color w:val="000000"/>
            <w:sz w:val="20"/>
            <w:szCs w:val="20"/>
            <w:u w:val="none"/>
          </w:rPr>
          <w:t xml:space="preserve"> Life (</w:t>
        </w:r>
        <w:proofErr w:type="spellStart"/>
        <w:r w:rsidRPr="007C680B">
          <w:rPr>
            <w:rStyle w:val="Hyperlink"/>
            <w:rFonts w:ascii="Arial" w:hAnsi="Arial" w:cs="Arial"/>
            <w:color w:val="000000"/>
            <w:sz w:val="20"/>
            <w:szCs w:val="20"/>
            <w:u w:val="none"/>
          </w:rPr>
          <w:t>iTOL</w:t>
        </w:r>
        <w:proofErr w:type="spellEnd"/>
        <w:r w:rsidRPr="007C680B">
          <w:rPr>
            <w:rStyle w:val="Hyperlink"/>
            <w:rFonts w:ascii="Arial" w:hAnsi="Arial" w:cs="Arial"/>
            <w:color w:val="000000"/>
            <w:sz w:val="20"/>
            <w:szCs w:val="20"/>
            <w:u w:val="none"/>
          </w:rPr>
          <w:t xml:space="preserve">) v4: recent updates and new developments. Nucleic Acids Res </w:t>
        </w:r>
        <w:proofErr w:type="gramStart"/>
        <w:r w:rsidRPr="007C680B">
          <w:rPr>
            <w:rStyle w:val="Hyperlink"/>
            <w:rFonts w:ascii="Arial" w:hAnsi="Arial" w:cs="Arial"/>
            <w:color w:val="000000"/>
            <w:sz w:val="20"/>
            <w:szCs w:val="20"/>
            <w:u w:val="none"/>
          </w:rPr>
          <w:t>47:W</w:t>
        </w:r>
        <w:proofErr w:type="gramEnd"/>
        <w:r w:rsidRPr="007C680B">
          <w:rPr>
            <w:rStyle w:val="Hyperlink"/>
            <w:rFonts w:ascii="Arial" w:hAnsi="Arial" w:cs="Arial"/>
            <w:color w:val="000000"/>
            <w:sz w:val="20"/>
            <w:szCs w:val="20"/>
            <w:u w:val="none"/>
          </w:rPr>
          <w:t>256–W259</w:t>
        </w:r>
      </w:hyperlink>
    </w:p>
    <w:p w14:paraId="10EF79A3"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12. </w:t>
      </w:r>
      <w:r w:rsidRPr="007C680B">
        <w:rPr>
          <w:rStyle w:val="apple-tab-span"/>
          <w:rFonts w:ascii="Arial" w:hAnsi="Arial" w:cs="Arial"/>
          <w:color w:val="000000"/>
          <w:sz w:val="20"/>
          <w:szCs w:val="20"/>
        </w:rPr>
        <w:tab/>
      </w:r>
      <w:hyperlink r:id="rId48" w:history="1">
        <w:r w:rsidRPr="007C680B">
          <w:rPr>
            <w:rStyle w:val="Hyperlink"/>
            <w:rFonts w:ascii="Arial" w:hAnsi="Arial" w:cs="Arial"/>
            <w:color w:val="000000"/>
            <w:sz w:val="20"/>
            <w:szCs w:val="20"/>
            <w:u w:val="none"/>
          </w:rPr>
          <w:t xml:space="preserve">Minh BQ, Schmidt HA, </w:t>
        </w:r>
        <w:proofErr w:type="spellStart"/>
        <w:r w:rsidRPr="007C680B">
          <w:rPr>
            <w:rStyle w:val="Hyperlink"/>
            <w:rFonts w:ascii="Arial" w:hAnsi="Arial" w:cs="Arial"/>
            <w:color w:val="000000"/>
            <w:sz w:val="20"/>
            <w:szCs w:val="20"/>
            <w:u w:val="none"/>
          </w:rPr>
          <w:t>Chernomor</w:t>
        </w:r>
        <w:proofErr w:type="spellEnd"/>
        <w:r w:rsidRPr="007C680B">
          <w:rPr>
            <w:rStyle w:val="Hyperlink"/>
            <w:rFonts w:ascii="Arial" w:hAnsi="Arial" w:cs="Arial"/>
            <w:color w:val="000000"/>
            <w:sz w:val="20"/>
            <w:szCs w:val="20"/>
            <w:u w:val="none"/>
          </w:rPr>
          <w:t xml:space="preserve"> O, et al (2020) IQ-TREE 2: New Models and Efficient Methods for Phylogenetic Inference in the Genomic Era. Mol Biol </w:t>
        </w:r>
        <w:proofErr w:type="spellStart"/>
        <w:r w:rsidRPr="007C680B">
          <w:rPr>
            <w:rStyle w:val="Hyperlink"/>
            <w:rFonts w:ascii="Arial" w:hAnsi="Arial" w:cs="Arial"/>
            <w:color w:val="000000"/>
            <w:sz w:val="20"/>
            <w:szCs w:val="20"/>
            <w:u w:val="none"/>
          </w:rPr>
          <w:t>Evol</w:t>
        </w:r>
        <w:proofErr w:type="spellEnd"/>
        <w:r w:rsidRPr="007C680B">
          <w:rPr>
            <w:rStyle w:val="Hyperlink"/>
            <w:rFonts w:ascii="Arial" w:hAnsi="Arial" w:cs="Arial"/>
            <w:color w:val="000000"/>
            <w:sz w:val="20"/>
            <w:szCs w:val="20"/>
            <w:u w:val="none"/>
          </w:rPr>
          <w:t xml:space="preserve"> 37:1530–1534</w:t>
        </w:r>
      </w:hyperlink>
    </w:p>
    <w:p w14:paraId="4E1A293F"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13. </w:t>
      </w:r>
      <w:r w:rsidRPr="007C680B">
        <w:rPr>
          <w:rStyle w:val="apple-tab-span"/>
          <w:rFonts w:ascii="Arial" w:hAnsi="Arial" w:cs="Arial"/>
          <w:color w:val="000000"/>
          <w:sz w:val="20"/>
          <w:szCs w:val="20"/>
        </w:rPr>
        <w:tab/>
      </w:r>
      <w:hyperlink r:id="rId49" w:history="1">
        <w:r w:rsidRPr="007C680B">
          <w:rPr>
            <w:rStyle w:val="Hyperlink"/>
            <w:rFonts w:ascii="Arial" w:hAnsi="Arial" w:cs="Arial"/>
            <w:color w:val="000000"/>
            <w:sz w:val="20"/>
            <w:szCs w:val="20"/>
            <w:u w:val="none"/>
          </w:rPr>
          <w:t>El-</w:t>
        </w:r>
        <w:proofErr w:type="spellStart"/>
        <w:r w:rsidRPr="007C680B">
          <w:rPr>
            <w:rStyle w:val="Hyperlink"/>
            <w:rFonts w:ascii="Arial" w:hAnsi="Arial" w:cs="Arial"/>
            <w:color w:val="000000"/>
            <w:sz w:val="20"/>
            <w:szCs w:val="20"/>
            <w:u w:val="none"/>
          </w:rPr>
          <w:t>Gebali</w:t>
        </w:r>
        <w:proofErr w:type="spellEnd"/>
        <w:r w:rsidRPr="007C680B">
          <w:rPr>
            <w:rStyle w:val="Hyperlink"/>
            <w:rFonts w:ascii="Arial" w:hAnsi="Arial" w:cs="Arial"/>
            <w:color w:val="000000"/>
            <w:sz w:val="20"/>
            <w:szCs w:val="20"/>
            <w:u w:val="none"/>
          </w:rPr>
          <w:t xml:space="preserve"> S, Mistry J, Bateman A, et al (2019) The </w:t>
        </w:r>
        <w:proofErr w:type="spellStart"/>
        <w:r w:rsidRPr="007C680B">
          <w:rPr>
            <w:rStyle w:val="Hyperlink"/>
            <w:rFonts w:ascii="Arial" w:hAnsi="Arial" w:cs="Arial"/>
            <w:color w:val="000000"/>
            <w:sz w:val="20"/>
            <w:szCs w:val="20"/>
            <w:u w:val="none"/>
          </w:rPr>
          <w:t>Pfam</w:t>
        </w:r>
        <w:proofErr w:type="spellEnd"/>
        <w:r w:rsidRPr="007C680B">
          <w:rPr>
            <w:rStyle w:val="Hyperlink"/>
            <w:rFonts w:ascii="Arial" w:hAnsi="Arial" w:cs="Arial"/>
            <w:color w:val="000000"/>
            <w:sz w:val="20"/>
            <w:szCs w:val="20"/>
            <w:u w:val="none"/>
          </w:rPr>
          <w:t xml:space="preserve"> protein families database in 2019. Nucleic Acids Res </w:t>
        </w:r>
        <w:proofErr w:type="gramStart"/>
        <w:r w:rsidRPr="007C680B">
          <w:rPr>
            <w:rStyle w:val="Hyperlink"/>
            <w:rFonts w:ascii="Arial" w:hAnsi="Arial" w:cs="Arial"/>
            <w:color w:val="000000"/>
            <w:sz w:val="20"/>
            <w:szCs w:val="20"/>
            <w:u w:val="none"/>
          </w:rPr>
          <w:t>47:D</w:t>
        </w:r>
        <w:proofErr w:type="gramEnd"/>
        <w:r w:rsidRPr="007C680B">
          <w:rPr>
            <w:rStyle w:val="Hyperlink"/>
            <w:rFonts w:ascii="Arial" w:hAnsi="Arial" w:cs="Arial"/>
            <w:color w:val="000000"/>
            <w:sz w:val="20"/>
            <w:szCs w:val="20"/>
            <w:u w:val="none"/>
          </w:rPr>
          <w:t>427–D432</w:t>
        </w:r>
      </w:hyperlink>
    </w:p>
    <w:p w14:paraId="5CAD3738" w14:textId="77777777"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14. </w:t>
      </w:r>
      <w:r w:rsidRPr="007C680B">
        <w:rPr>
          <w:rStyle w:val="apple-tab-span"/>
          <w:rFonts w:ascii="Arial" w:hAnsi="Arial" w:cs="Arial"/>
          <w:color w:val="000000"/>
          <w:sz w:val="20"/>
          <w:szCs w:val="20"/>
        </w:rPr>
        <w:tab/>
      </w:r>
      <w:hyperlink r:id="rId50" w:history="1">
        <w:proofErr w:type="spellStart"/>
        <w:r w:rsidRPr="007C680B">
          <w:rPr>
            <w:rStyle w:val="Hyperlink"/>
            <w:rFonts w:ascii="Arial" w:hAnsi="Arial" w:cs="Arial"/>
            <w:color w:val="000000"/>
            <w:sz w:val="20"/>
            <w:szCs w:val="20"/>
            <w:u w:val="none"/>
          </w:rPr>
          <w:t>Steinegger</w:t>
        </w:r>
        <w:proofErr w:type="spellEnd"/>
        <w:r w:rsidRPr="007C680B">
          <w:rPr>
            <w:rStyle w:val="Hyperlink"/>
            <w:rFonts w:ascii="Arial" w:hAnsi="Arial" w:cs="Arial"/>
            <w:color w:val="000000"/>
            <w:sz w:val="20"/>
            <w:szCs w:val="20"/>
            <w:u w:val="none"/>
          </w:rPr>
          <w:t xml:space="preserve"> M, Meier M, </w:t>
        </w:r>
        <w:proofErr w:type="spellStart"/>
        <w:r w:rsidRPr="007C680B">
          <w:rPr>
            <w:rStyle w:val="Hyperlink"/>
            <w:rFonts w:ascii="Arial" w:hAnsi="Arial" w:cs="Arial"/>
            <w:color w:val="000000"/>
            <w:sz w:val="20"/>
            <w:szCs w:val="20"/>
            <w:u w:val="none"/>
          </w:rPr>
          <w:t>Mirdita</w:t>
        </w:r>
        <w:proofErr w:type="spellEnd"/>
        <w:r w:rsidRPr="007C680B">
          <w:rPr>
            <w:rStyle w:val="Hyperlink"/>
            <w:rFonts w:ascii="Arial" w:hAnsi="Arial" w:cs="Arial"/>
            <w:color w:val="000000"/>
            <w:sz w:val="20"/>
            <w:szCs w:val="20"/>
            <w:u w:val="none"/>
          </w:rPr>
          <w:t xml:space="preserve"> M, et al (2019) HH-suite3 for fast remote homology detection and deep protein annotation. BMC Bioinformatics 20:473</w:t>
        </w:r>
      </w:hyperlink>
    </w:p>
    <w:p w14:paraId="659FE157" w14:textId="77777777" w:rsid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15. </w:t>
      </w:r>
      <w:r w:rsidRPr="007C680B">
        <w:rPr>
          <w:rStyle w:val="apple-tab-span"/>
          <w:rFonts w:ascii="Arial" w:hAnsi="Arial" w:cs="Arial"/>
          <w:color w:val="000000"/>
          <w:sz w:val="20"/>
          <w:szCs w:val="20"/>
        </w:rPr>
        <w:tab/>
      </w:r>
      <w:hyperlink r:id="rId51" w:history="1">
        <w:r w:rsidRPr="007C680B">
          <w:rPr>
            <w:rStyle w:val="Hyperlink"/>
            <w:rFonts w:ascii="Arial" w:hAnsi="Arial" w:cs="Arial"/>
            <w:color w:val="000000"/>
            <w:sz w:val="20"/>
            <w:szCs w:val="20"/>
            <w:u w:val="none"/>
          </w:rPr>
          <w:t>Edwards RA, McNair K, Faust K, et al (2016) Computational approaches to predict bacteriophage-host relationships. FEMS Microbiol Rev 40:258–272</w:t>
        </w:r>
      </w:hyperlink>
    </w:p>
    <w:p w14:paraId="4752B4FB" w14:textId="0A8D3110" w:rsidR="007C680B" w:rsidRPr="007C680B" w:rsidRDefault="007C680B" w:rsidP="007C680B">
      <w:pPr>
        <w:pStyle w:val="NormalWeb"/>
        <w:spacing w:before="0" w:beforeAutospacing="0" w:after="220" w:afterAutospacing="0"/>
        <w:ind w:hanging="440"/>
        <w:rPr>
          <w:sz w:val="20"/>
          <w:szCs w:val="20"/>
        </w:rPr>
      </w:pPr>
      <w:r w:rsidRPr="007C680B">
        <w:rPr>
          <w:rFonts w:ascii="Arial" w:hAnsi="Arial" w:cs="Arial"/>
          <w:color w:val="000000"/>
          <w:sz w:val="20"/>
          <w:szCs w:val="20"/>
        </w:rPr>
        <w:t xml:space="preserve">16. </w:t>
      </w:r>
      <w:r w:rsidRPr="007C680B">
        <w:rPr>
          <w:rStyle w:val="apple-tab-span"/>
          <w:rFonts w:ascii="Arial" w:hAnsi="Arial" w:cs="Arial"/>
          <w:color w:val="000000"/>
          <w:sz w:val="20"/>
          <w:szCs w:val="20"/>
        </w:rPr>
        <w:tab/>
      </w:r>
      <w:hyperlink r:id="rId52" w:history="1">
        <w:r w:rsidRPr="007C680B">
          <w:rPr>
            <w:rStyle w:val="Hyperlink"/>
            <w:rFonts w:ascii="Arial" w:hAnsi="Arial" w:cs="Arial"/>
            <w:color w:val="000000"/>
            <w:sz w:val="20"/>
            <w:szCs w:val="20"/>
            <w:u w:val="none"/>
          </w:rPr>
          <w:t xml:space="preserve">Hockenberry AJ, Wilke CO (2021) BACPHLIP: predicting bacteriophage lifestyle from conserved protein domains. </w:t>
        </w:r>
        <w:proofErr w:type="spellStart"/>
        <w:r w:rsidRPr="007C680B">
          <w:rPr>
            <w:rStyle w:val="Hyperlink"/>
            <w:rFonts w:ascii="Arial" w:hAnsi="Arial" w:cs="Arial"/>
            <w:color w:val="000000"/>
            <w:sz w:val="20"/>
            <w:szCs w:val="20"/>
            <w:u w:val="none"/>
          </w:rPr>
          <w:t>PeerJ</w:t>
        </w:r>
        <w:proofErr w:type="spellEnd"/>
        <w:r w:rsidRPr="007C680B">
          <w:rPr>
            <w:rStyle w:val="Hyperlink"/>
            <w:rFonts w:ascii="Arial" w:hAnsi="Arial" w:cs="Arial"/>
            <w:color w:val="000000"/>
            <w:sz w:val="20"/>
            <w:szCs w:val="20"/>
            <w:u w:val="none"/>
          </w:rPr>
          <w:t xml:space="preserve"> </w:t>
        </w:r>
        <w:proofErr w:type="gramStart"/>
        <w:r w:rsidRPr="007C680B">
          <w:rPr>
            <w:rStyle w:val="Hyperlink"/>
            <w:rFonts w:ascii="Arial" w:hAnsi="Arial" w:cs="Arial"/>
            <w:color w:val="000000"/>
            <w:sz w:val="20"/>
            <w:szCs w:val="20"/>
            <w:u w:val="none"/>
          </w:rPr>
          <w:t>9:e</w:t>
        </w:r>
        <w:proofErr w:type="gramEnd"/>
        <w:r w:rsidRPr="007C680B">
          <w:rPr>
            <w:rStyle w:val="Hyperlink"/>
            <w:rFonts w:ascii="Arial" w:hAnsi="Arial" w:cs="Arial"/>
            <w:color w:val="000000"/>
            <w:sz w:val="20"/>
            <w:szCs w:val="20"/>
            <w:u w:val="none"/>
          </w:rPr>
          <w:t>11396</w:t>
        </w:r>
      </w:hyperlink>
    </w:p>
    <w:p w14:paraId="5556E8C1" w14:textId="07DA6460" w:rsidR="00A174CC" w:rsidRDefault="00A174CC" w:rsidP="008618EC"/>
    <w:sectPr w:rsidR="00A174CC">
      <w:headerReference w:type="default" r:id="rId5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6488" w14:textId="77777777" w:rsidR="00A348A4" w:rsidRDefault="00A348A4">
      <w:r>
        <w:separator/>
      </w:r>
    </w:p>
  </w:endnote>
  <w:endnote w:type="continuationSeparator" w:id="0">
    <w:p w14:paraId="226EC482" w14:textId="77777777" w:rsidR="00A348A4" w:rsidRDefault="00A3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C4AA9" w14:textId="77777777" w:rsidR="00A348A4" w:rsidRDefault="00A348A4">
      <w:r>
        <w:separator/>
      </w:r>
    </w:p>
  </w:footnote>
  <w:footnote w:type="continuationSeparator" w:id="0">
    <w:p w14:paraId="6AEFED67" w14:textId="77777777" w:rsidR="00A348A4" w:rsidRDefault="00A34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AEA"/>
    <w:multiLevelType w:val="hybridMultilevel"/>
    <w:tmpl w:val="5D3C1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25842992">
    <w:abstractNumId w:val="1"/>
  </w:num>
  <w:num w:numId="2" w16cid:durableId="236476295">
    <w:abstractNumId w:val="2"/>
  </w:num>
  <w:num w:numId="3" w16cid:durableId="136671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6BF"/>
    <w:rsid w:val="00014092"/>
    <w:rsid w:val="0001767F"/>
    <w:rsid w:val="00035A87"/>
    <w:rsid w:val="00065D35"/>
    <w:rsid w:val="000A021A"/>
    <w:rsid w:val="000A146A"/>
    <w:rsid w:val="000C12FB"/>
    <w:rsid w:val="000D1141"/>
    <w:rsid w:val="000D67E4"/>
    <w:rsid w:val="000F51F4"/>
    <w:rsid w:val="000F7067"/>
    <w:rsid w:val="001007AA"/>
    <w:rsid w:val="0013113D"/>
    <w:rsid w:val="0015730D"/>
    <w:rsid w:val="002116AA"/>
    <w:rsid w:val="002350BA"/>
    <w:rsid w:val="0026182C"/>
    <w:rsid w:val="00275EDF"/>
    <w:rsid w:val="00284FAB"/>
    <w:rsid w:val="002D414A"/>
    <w:rsid w:val="002F6658"/>
    <w:rsid w:val="003224CC"/>
    <w:rsid w:val="00360A02"/>
    <w:rsid w:val="0037243A"/>
    <w:rsid w:val="003B6978"/>
    <w:rsid w:val="003D23D3"/>
    <w:rsid w:val="0043110C"/>
    <w:rsid w:val="00437970"/>
    <w:rsid w:val="0046195C"/>
    <w:rsid w:val="00490439"/>
    <w:rsid w:val="004B2144"/>
    <w:rsid w:val="004D7A6D"/>
    <w:rsid w:val="004F3196"/>
    <w:rsid w:val="00507033"/>
    <w:rsid w:val="00543F86"/>
    <w:rsid w:val="00566F87"/>
    <w:rsid w:val="00595DF0"/>
    <w:rsid w:val="005A54C3"/>
    <w:rsid w:val="005D1B0B"/>
    <w:rsid w:val="005F1B1D"/>
    <w:rsid w:val="006070D8"/>
    <w:rsid w:val="00620977"/>
    <w:rsid w:val="00630053"/>
    <w:rsid w:val="006568B9"/>
    <w:rsid w:val="00657137"/>
    <w:rsid w:val="006A2E3D"/>
    <w:rsid w:val="00722830"/>
    <w:rsid w:val="007431E1"/>
    <w:rsid w:val="0074790D"/>
    <w:rsid w:val="00752221"/>
    <w:rsid w:val="00782062"/>
    <w:rsid w:val="007C680B"/>
    <w:rsid w:val="008618EC"/>
    <w:rsid w:val="008815EE"/>
    <w:rsid w:val="008B67DE"/>
    <w:rsid w:val="009512B9"/>
    <w:rsid w:val="00996898"/>
    <w:rsid w:val="009A1247"/>
    <w:rsid w:val="009A578D"/>
    <w:rsid w:val="009C06B7"/>
    <w:rsid w:val="00A04A43"/>
    <w:rsid w:val="00A174CC"/>
    <w:rsid w:val="00A2357C"/>
    <w:rsid w:val="00A348A4"/>
    <w:rsid w:val="00A44D44"/>
    <w:rsid w:val="00AA168D"/>
    <w:rsid w:val="00AD759B"/>
    <w:rsid w:val="00B01389"/>
    <w:rsid w:val="00B35CC8"/>
    <w:rsid w:val="00B47589"/>
    <w:rsid w:val="00B57D78"/>
    <w:rsid w:val="00B62211"/>
    <w:rsid w:val="00B94238"/>
    <w:rsid w:val="00C11E87"/>
    <w:rsid w:val="00C166FB"/>
    <w:rsid w:val="00C3404C"/>
    <w:rsid w:val="00CF233E"/>
    <w:rsid w:val="00D257BD"/>
    <w:rsid w:val="00D350ED"/>
    <w:rsid w:val="00D76C08"/>
    <w:rsid w:val="00DB65D7"/>
    <w:rsid w:val="00E012FB"/>
    <w:rsid w:val="00E034BE"/>
    <w:rsid w:val="00E10507"/>
    <w:rsid w:val="00E112E2"/>
    <w:rsid w:val="00E27F49"/>
    <w:rsid w:val="00EA1E5A"/>
    <w:rsid w:val="00EE3244"/>
    <w:rsid w:val="00EF5C86"/>
    <w:rsid w:val="00F032E2"/>
    <w:rsid w:val="00FE0EDC"/>
    <w:rsid w:val="00FE3A4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NormalWeb">
    <w:name w:val="Normal (Web)"/>
    <w:basedOn w:val="Normal"/>
    <w:uiPriority w:val="99"/>
    <w:unhideWhenUsed/>
    <w:rsid w:val="008618EC"/>
    <w:pPr>
      <w:spacing w:before="100" w:beforeAutospacing="1" w:after="100" w:afterAutospacing="1"/>
    </w:pPr>
    <w:rPr>
      <w:lang w:eastAsia="ja-JP"/>
    </w:rPr>
  </w:style>
  <w:style w:type="character" w:customStyle="1" w:styleId="apple-tab-span">
    <w:name w:val="apple-tab-span"/>
    <w:basedOn w:val="DefaultParagraphFont"/>
    <w:rsid w:val="008618EC"/>
  </w:style>
  <w:style w:type="paragraph" w:styleId="ListParagraph">
    <w:name w:val="List Paragraph"/>
    <w:basedOn w:val="Normal"/>
    <w:uiPriority w:val="34"/>
    <w:qFormat/>
    <w:rsid w:val="00490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2509">
      <w:bodyDiv w:val="1"/>
      <w:marLeft w:val="0"/>
      <w:marRight w:val="0"/>
      <w:marTop w:val="0"/>
      <w:marBottom w:val="0"/>
      <w:divBdr>
        <w:top w:val="none" w:sz="0" w:space="0" w:color="auto"/>
        <w:left w:val="none" w:sz="0" w:space="0" w:color="auto"/>
        <w:bottom w:val="none" w:sz="0" w:space="0" w:color="auto"/>
        <w:right w:val="none" w:sz="0" w:space="0" w:color="auto"/>
      </w:divBdr>
    </w:div>
    <w:div w:id="256595077">
      <w:bodyDiv w:val="1"/>
      <w:marLeft w:val="0"/>
      <w:marRight w:val="0"/>
      <w:marTop w:val="0"/>
      <w:marBottom w:val="0"/>
      <w:divBdr>
        <w:top w:val="none" w:sz="0" w:space="0" w:color="auto"/>
        <w:left w:val="none" w:sz="0" w:space="0" w:color="auto"/>
        <w:bottom w:val="none" w:sz="0" w:space="0" w:color="auto"/>
        <w:right w:val="none" w:sz="0" w:space="0" w:color="auto"/>
      </w:divBdr>
    </w:div>
    <w:div w:id="276836806">
      <w:bodyDiv w:val="1"/>
      <w:marLeft w:val="0"/>
      <w:marRight w:val="0"/>
      <w:marTop w:val="0"/>
      <w:marBottom w:val="0"/>
      <w:divBdr>
        <w:top w:val="none" w:sz="0" w:space="0" w:color="auto"/>
        <w:left w:val="none" w:sz="0" w:space="0" w:color="auto"/>
        <w:bottom w:val="none" w:sz="0" w:space="0" w:color="auto"/>
        <w:right w:val="none" w:sz="0" w:space="0" w:color="auto"/>
      </w:divBdr>
    </w:div>
    <w:div w:id="345980819">
      <w:bodyDiv w:val="1"/>
      <w:marLeft w:val="0"/>
      <w:marRight w:val="0"/>
      <w:marTop w:val="0"/>
      <w:marBottom w:val="0"/>
      <w:divBdr>
        <w:top w:val="none" w:sz="0" w:space="0" w:color="auto"/>
        <w:left w:val="none" w:sz="0" w:space="0" w:color="auto"/>
        <w:bottom w:val="none" w:sz="0" w:space="0" w:color="auto"/>
        <w:right w:val="none" w:sz="0" w:space="0" w:color="auto"/>
      </w:divBdr>
    </w:div>
    <w:div w:id="360982063">
      <w:bodyDiv w:val="1"/>
      <w:marLeft w:val="0"/>
      <w:marRight w:val="0"/>
      <w:marTop w:val="0"/>
      <w:marBottom w:val="0"/>
      <w:divBdr>
        <w:top w:val="none" w:sz="0" w:space="0" w:color="auto"/>
        <w:left w:val="none" w:sz="0" w:space="0" w:color="auto"/>
        <w:bottom w:val="none" w:sz="0" w:space="0" w:color="auto"/>
        <w:right w:val="none" w:sz="0" w:space="0" w:color="auto"/>
      </w:divBdr>
    </w:div>
    <w:div w:id="386685375">
      <w:bodyDiv w:val="1"/>
      <w:marLeft w:val="0"/>
      <w:marRight w:val="0"/>
      <w:marTop w:val="0"/>
      <w:marBottom w:val="0"/>
      <w:divBdr>
        <w:top w:val="none" w:sz="0" w:space="0" w:color="auto"/>
        <w:left w:val="none" w:sz="0" w:space="0" w:color="auto"/>
        <w:bottom w:val="none" w:sz="0" w:space="0" w:color="auto"/>
        <w:right w:val="none" w:sz="0" w:space="0" w:color="auto"/>
      </w:divBdr>
    </w:div>
    <w:div w:id="489757088">
      <w:bodyDiv w:val="1"/>
      <w:marLeft w:val="0"/>
      <w:marRight w:val="0"/>
      <w:marTop w:val="0"/>
      <w:marBottom w:val="0"/>
      <w:divBdr>
        <w:top w:val="none" w:sz="0" w:space="0" w:color="auto"/>
        <w:left w:val="none" w:sz="0" w:space="0" w:color="auto"/>
        <w:bottom w:val="none" w:sz="0" w:space="0" w:color="auto"/>
        <w:right w:val="none" w:sz="0" w:space="0" w:color="auto"/>
      </w:divBdr>
    </w:div>
    <w:div w:id="512377717">
      <w:bodyDiv w:val="1"/>
      <w:marLeft w:val="0"/>
      <w:marRight w:val="0"/>
      <w:marTop w:val="0"/>
      <w:marBottom w:val="0"/>
      <w:divBdr>
        <w:top w:val="none" w:sz="0" w:space="0" w:color="auto"/>
        <w:left w:val="none" w:sz="0" w:space="0" w:color="auto"/>
        <w:bottom w:val="none" w:sz="0" w:space="0" w:color="auto"/>
        <w:right w:val="none" w:sz="0" w:space="0" w:color="auto"/>
      </w:divBdr>
    </w:div>
    <w:div w:id="562911182">
      <w:bodyDiv w:val="1"/>
      <w:marLeft w:val="0"/>
      <w:marRight w:val="0"/>
      <w:marTop w:val="0"/>
      <w:marBottom w:val="0"/>
      <w:divBdr>
        <w:top w:val="none" w:sz="0" w:space="0" w:color="auto"/>
        <w:left w:val="none" w:sz="0" w:space="0" w:color="auto"/>
        <w:bottom w:val="none" w:sz="0" w:space="0" w:color="auto"/>
        <w:right w:val="none" w:sz="0" w:space="0" w:color="auto"/>
      </w:divBdr>
    </w:div>
    <w:div w:id="570122777">
      <w:bodyDiv w:val="1"/>
      <w:marLeft w:val="0"/>
      <w:marRight w:val="0"/>
      <w:marTop w:val="0"/>
      <w:marBottom w:val="0"/>
      <w:divBdr>
        <w:top w:val="none" w:sz="0" w:space="0" w:color="auto"/>
        <w:left w:val="none" w:sz="0" w:space="0" w:color="auto"/>
        <w:bottom w:val="none" w:sz="0" w:space="0" w:color="auto"/>
        <w:right w:val="none" w:sz="0" w:space="0" w:color="auto"/>
      </w:divBdr>
    </w:div>
    <w:div w:id="587495906">
      <w:bodyDiv w:val="1"/>
      <w:marLeft w:val="0"/>
      <w:marRight w:val="0"/>
      <w:marTop w:val="0"/>
      <w:marBottom w:val="0"/>
      <w:divBdr>
        <w:top w:val="none" w:sz="0" w:space="0" w:color="auto"/>
        <w:left w:val="none" w:sz="0" w:space="0" w:color="auto"/>
        <w:bottom w:val="none" w:sz="0" w:space="0" w:color="auto"/>
        <w:right w:val="none" w:sz="0" w:space="0" w:color="auto"/>
      </w:divBdr>
    </w:div>
    <w:div w:id="600186548">
      <w:bodyDiv w:val="1"/>
      <w:marLeft w:val="0"/>
      <w:marRight w:val="0"/>
      <w:marTop w:val="0"/>
      <w:marBottom w:val="0"/>
      <w:divBdr>
        <w:top w:val="none" w:sz="0" w:space="0" w:color="auto"/>
        <w:left w:val="none" w:sz="0" w:space="0" w:color="auto"/>
        <w:bottom w:val="none" w:sz="0" w:space="0" w:color="auto"/>
        <w:right w:val="none" w:sz="0" w:space="0" w:color="auto"/>
      </w:divBdr>
    </w:div>
    <w:div w:id="606890244">
      <w:bodyDiv w:val="1"/>
      <w:marLeft w:val="0"/>
      <w:marRight w:val="0"/>
      <w:marTop w:val="0"/>
      <w:marBottom w:val="0"/>
      <w:divBdr>
        <w:top w:val="none" w:sz="0" w:space="0" w:color="auto"/>
        <w:left w:val="none" w:sz="0" w:space="0" w:color="auto"/>
        <w:bottom w:val="none" w:sz="0" w:space="0" w:color="auto"/>
        <w:right w:val="none" w:sz="0" w:space="0" w:color="auto"/>
      </w:divBdr>
    </w:div>
    <w:div w:id="609047527">
      <w:bodyDiv w:val="1"/>
      <w:marLeft w:val="0"/>
      <w:marRight w:val="0"/>
      <w:marTop w:val="0"/>
      <w:marBottom w:val="0"/>
      <w:divBdr>
        <w:top w:val="none" w:sz="0" w:space="0" w:color="auto"/>
        <w:left w:val="none" w:sz="0" w:space="0" w:color="auto"/>
        <w:bottom w:val="none" w:sz="0" w:space="0" w:color="auto"/>
        <w:right w:val="none" w:sz="0" w:space="0" w:color="auto"/>
      </w:divBdr>
    </w:div>
    <w:div w:id="675883648">
      <w:bodyDiv w:val="1"/>
      <w:marLeft w:val="0"/>
      <w:marRight w:val="0"/>
      <w:marTop w:val="0"/>
      <w:marBottom w:val="0"/>
      <w:divBdr>
        <w:top w:val="none" w:sz="0" w:space="0" w:color="auto"/>
        <w:left w:val="none" w:sz="0" w:space="0" w:color="auto"/>
        <w:bottom w:val="none" w:sz="0" w:space="0" w:color="auto"/>
        <w:right w:val="none" w:sz="0" w:space="0" w:color="auto"/>
      </w:divBdr>
    </w:div>
    <w:div w:id="761026506">
      <w:bodyDiv w:val="1"/>
      <w:marLeft w:val="0"/>
      <w:marRight w:val="0"/>
      <w:marTop w:val="0"/>
      <w:marBottom w:val="0"/>
      <w:divBdr>
        <w:top w:val="none" w:sz="0" w:space="0" w:color="auto"/>
        <w:left w:val="none" w:sz="0" w:space="0" w:color="auto"/>
        <w:bottom w:val="none" w:sz="0" w:space="0" w:color="auto"/>
        <w:right w:val="none" w:sz="0" w:space="0" w:color="auto"/>
      </w:divBdr>
    </w:div>
    <w:div w:id="824469044">
      <w:bodyDiv w:val="1"/>
      <w:marLeft w:val="0"/>
      <w:marRight w:val="0"/>
      <w:marTop w:val="0"/>
      <w:marBottom w:val="0"/>
      <w:divBdr>
        <w:top w:val="none" w:sz="0" w:space="0" w:color="auto"/>
        <w:left w:val="none" w:sz="0" w:space="0" w:color="auto"/>
        <w:bottom w:val="none" w:sz="0" w:space="0" w:color="auto"/>
        <w:right w:val="none" w:sz="0" w:space="0" w:color="auto"/>
      </w:divBdr>
    </w:div>
    <w:div w:id="861669267">
      <w:bodyDiv w:val="1"/>
      <w:marLeft w:val="0"/>
      <w:marRight w:val="0"/>
      <w:marTop w:val="0"/>
      <w:marBottom w:val="0"/>
      <w:divBdr>
        <w:top w:val="none" w:sz="0" w:space="0" w:color="auto"/>
        <w:left w:val="none" w:sz="0" w:space="0" w:color="auto"/>
        <w:bottom w:val="none" w:sz="0" w:space="0" w:color="auto"/>
        <w:right w:val="none" w:sz="0" w:space="0" w:color="auto"/>
      </w:divBdr>
    </w:div>
    <w:div w:id="879125206">
      <w:bodyDiv w:val="1"/>
      <w:marLeft w:val="0"/>
      <w:marRight w:val="0"/>
      <w:marTop w:val="0"/>
      <w:marBottom w:val="0"/>
      <w:divBdr>
        <w:top w:val="none" w:sz="0" w:space="0" w:color="auto"/>
        <w:left w:val="none" w:sz="0" w:space="0" w:color="auto"/>
        <w:bottom w:val="none" w:sz="0" w:space="0" w:color="auto"/>
        <w:right w:val="none" w:sz="0" w:space="0" w:color="auto"/>
      </w:divBdr>
    </w:div>
    <w:div w:id="947658275">
      <w:bodyDiv w:val="1"/>
      <w:marLeft w:val="0"/>
      <w:marRight w:val="0"/>
      <w:marTop w:val="0"/>
      <w:marBottom w:val="0"/>
      <w:divBdr>
        <w:top w:val="none" w:sz="0" w:space="0" w:color="auto"/>
        <w:left w:val="none" w:sz="0" w:space="0" w:color="auto"/>
        <w:bottom w:val="none" w:sz="0" w:space="0" w:color="auto"/>
        <w:right w:val="none" w:sz="0" w:space="0" w:color="auto"/>
      </w:divBdr>
    </w:div>
    <w:div w:id="1080911841">
      <w:bodyDiv w:val="1"/>
      <w:marLeft w:val="0"/>
      <w:marRight w:val="0"/>
      <w:marTop w:val="0"/>
      <w:marBottom w:val="0"/>
      <w:divBdr>
        <w:top w:val="none" w:sz="0" w:space="0" w:color="auto"/>
        <w:left w:val="none" w:sz="0" w:space="0" w:color="auto"/>
        <w:bottom w:val="none" w:sz="0" w:space="0" w:color="auto"/>
        <w:right w:val="none" w:sz="0" w:space="0" w:color="auto"/>
      </w:divBdr>
    </w:div>
    <w:div w:id="1168445021">
      <w:bodyDiv w:val="1"/>
      <w:marLeft w:val="0"/>
      <w:marRight w:val="0"/>
      <w:marTop w:val="0"/>
      <w:marBottom w:val="0"/>
      <w:divBdr>
        <w:top w:val="none" w:sz="0" w:space="0" w:color="auto"/>
        <w:left w:val="none" w:sz="0" w:space="0" w:color="auto"/>
        <w:bottom w:val="none" w:sz="0" w:space="0" w:color="auto"/>
        <w:right w:val="none" w:sz="0" w:space="0" w:color="auto"/>
      </w:divBdr>
    </w:div>
    <w:div w:id="1258100257">
      <w:bodyDiv w:val="1"/>
      <w:marLeft w:val="0"/>
      <w:marRight w:val="0"/>
      <w:marTop w:val="0"/>
      <w:marBottom w:val="0"/>
      <w:divBdr>
        <w:top w:val="none" w:sz="0" w:space="0" w:color="auto"/>
        <w:left w:val="none" w:sz="0" w:space="0" w:color="auto"/>
        <w:bottom w:val="none" w:sz="0" w:space="0" w:color="auto"/>
        <w:right w:val="none" w:sz="0" w:space="0" w:color="auto"/>
      </w:divBdr>
    </w:div>
    <w:div w:id="1584220267">
      <w:bodyDiv w:val="1"/>
      <w:marLeft w:val="0"/>
      <w:marRight w:val="0"/>
      <w:marTop w:val="0"/>
      <w:marBottom w:val="0"/>
      <w:divBdr>
        <w:top w:val="none" w:sz="0" w:space="0" w:color="auto"/>
        <w:left w:val="none" w:sz="0" w:space="0" w:color="auto"/>
        <w:bottom w:val="none" w:sz="0" w:space="0" w:color="auto"/>
        <w:right w:val="none" w:sz="0" w:space="0" w:color="auto"/>
      </w:divBdr>
    </w:div>
    <w:div w:id="1710952562">
      <w:bodyDiv w:val="1"/>
      <w:marLeft w:val="0"/>
      <w:marRight w:val="0"/>
      <w:marTop w:val="0"/>
      <w:marBottom w:val="0"/>
      <w:divBdr>
        <w:top w:val="none" w:sz="0" w:space="0" w:color="auto"/>
        <w:left w:val="none" w:sz="0" w:space="0" w:color="auto"/>
        <w:bottom w:val="none" w:sz="0" w:space="0" w:color="auto"/>
        <w:right w:val="none" w:sz="0" w:space="0" w:color="auto"/>
      </w:divBdr>
    </w:div>
    <w:div w:id="1787774280">
      <w:bodyDiv w:val="1"/>
      <w:marLeft w:val="0"/>
      <w:marRight w:val="0"/>
      <w:marTop w:val="0"/>
      <w:marBottom w:val="0"/>
      <w:divBdr>
        <w:top w:val="none" w:sz="0" w:space="0" w:color="auto"/>
        <w:left w:val="none" w:sz="0" w:space="0" w:color="auto"/>
        <w:bottom w:val="none" w:sz="0" w:space="0" w:color="auto"/>
        <w:right w:val="none" w:sz="0" w:space="0" w:color="auto"/>
      </w:divBdr>
    </w:div>
    <w:div w:id="1852139782">
      <w:bodyDiv w:val="1"/>
      <w:marLeft w:val="0"/>
      <w:marRight w:val="0"/>
      <w:marTop w:val="0"/>
      <w:marBottom w:val="0"/>
      <w:divBdr>
        <w:top w:val="none" w:sz="0" w:space="0" w:color="auto"/>
        <w:left w:val="none" w:sz="0" w:space="0" w:color="auto"/>
        <w:bottom w:val="none" w:sz="0" w:space="0" w:color="auto"/>
        <w:right w:val="none" w:sz="0" w:space="0" w:color="auto"/>
      </w:divBdr>
    </w:div>
    <w:div w:id="1859077763">
      <w:bodyDiv w:val="1"/>
      <w:marLeft w:val="0"/>
      <w:marRight w:val="0"/>
      <w:marTop w:val="0"/>
      <w:marBottom w:val="0"/>
      <w:divBdr>
        <w:top w:val="none" w:sz="0" w:space="0" w:color="auto"/>
        <w:left w:val="none" w:sz="0" w:space="0" w:color="auto"/>
        <w:bottom w:val="none" w:sz="0" w:space="0" w:color="auto"/>
        <w:right w:val="none" w:sz="0" w:space="0" w:color="auto"/>
      </w:divBdr>
    </w:div>
    <w:div w:id="1905525029">
      <w:bodyDiv w:val="1"/>
      <w:marLeft w:val="0"/>
      <w:marRight w:val="0"/>
      <w:marTop w:val="0"/>
      <w:marBottom w:val="0"/>
      <w:divBdr>
        <w:top w:val="none" w:sz="0" w:space="0" w:color="auto"/>
        <w:left w:val="none" w:sz="0" w:space="0" w:color="auto"/>
        <w:bottom w:val="none" w:sz="0" w:space="0" w:color="auto"/>
        <w:right w:val="none" w:sz="0" w:space="0" w:color="auto"/>
      </w:divBdr>
    </w:div>
    <w:div w:id="1975405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2ibOmq/yeML" TargetMode="External"/><Relationship Id="rId18" Type="http://schemas.openxmlformats.org/officeDocument/2006/relationships/hyperlink" Target="https://paperpile.com/c/2ibOmq/jRFu" TargetMode="External"/><Relationship Id="rId26" Type="http://schemas.openxmlformats.org/officeDocument/2006/relationships/hyperlink" Target="https://paperpile.com/c/2ibOmq/OtNN" TargetMode="External"/><Relationship Id="rId39" Type="http://schemas.openxmlformats.org/officeDocument/2006/relationships/hyperlink" Target="http://dx.doi.org/10.1038/s41587-020-00774-7" TargetMode="External"/><Relationship Id="rId21" Type="http://schemas.openxmlformats.org/officeDocument/2006/relationships/hyperlink" Target="https://paperpile.com/c/2ibOmq/Iyb8" TargetMode="External"/><Relationship Id="rId34" Type="http://schemas.openxmlformats.org/officeDocument/2006/relationships/hyperlink" Target="https://paperpile.com/c/2ibOmq/qS87" TargetMode="External"/><Relationship Id="rId42" Type="http://schemas.openxmlformats.org/officeDocument/2006/relationships/hyperlink" Target="http://paperpile.com/b/2ibOmq/ZkE2" TargetMode="External"/><Relationship Id="rId47" Type="http://schemas.openxmlformats.org/officeDocument/2006/relationships/hyperlink" Target="http://paperpile.com/b/2ibOmq/4qnY" TargetMode="External"/><Relationship Id="rId50" Type="http://schemas.openxmlformats.org/officeDocument/2006/relationships/hyperlink" Target="http://paperpile.com/b/2ibOmq/MIWs"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aperpile.com/c/2ibOmq/T6Qu" TargetMode="External"/><Relationship Id="rId29" Type="http://schemas.openxmlformats.org/officeDocument/2006/relationships/hyperlink" Target="https://paperpile.com/c/2ibOmq/OtNN" TargetMode="External"/><Relationship Id="rId11" Type="http://schemas.openxmlformats.org/officeDocument/2006/relationships/hyperlink" Target="https://paperpile.com/c/YWt6Ue/3lhkB" TargetMode="External"/><Relationship Id="rId24" Type="http://schemas.openxmlformats.org/officeDocument/2006/relationships/image" Target="media/image5.emf"/><Relationship Id="rId32" Type="http://schemas.openxmlformats.org/officeDocument/2006/relationships/hyperlink" Target="https://paperpile.com/c/2ibOmq/MIWs" TargetMode="External"/><Relationship Id="rId37" Type="http://schemas.openxmlformats.org/officeDocument/2006/relationships/hyperlink" Target="http://paperpile.com/b/2ibOmq/XaPj" TargetMode="External"/><Relationship Id="rId40" Type="http://schemas.openxmlformats.org/officeDocument/2006/relationships/hyperlink" Target="http://paperpile.com/b/2ibOmq/T6Qu" TargetMode="External"/><Relationship Id="rId45" Type="http://schemas.openxmlformats.org/officeDocument/2006/relationships/hyperlink" Target="http://paperpile.com/b/2ibOmq/tpQH"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perpile.com/c/YWt6Ue/3lhkB" TargetMode="External"/><Relationship Id="rId19" Type="http://schemas.openxmlformats.org/officeDocument/2006/relationships/image" Target="media/image4.emf"/><Relationship Id="rId31" Type="http://schemas.openxmlformats.org/officeDocument/2006/relationships/hyperlink" Target="https://paperpile.com/c/2ibOmq/dSjZ" TargetMode="External"/><Relationship Id="rId44" Type="http://schemas.openxmlformats.org/officeDocument/2006/relationships/hyperlink" Target="http://paperpile.com/b/2ibOmq/AYbs" TargetMode="External"/><Relationship Id="rId52" Type="http://schemas.openxmlformats.org/officeDocument/2006/relationships/hyperlink" Target="http://paperpile.com/b/2ibOmq/qS87" TargetMode="External"/><Relationship Id="rId4" Type="http://schemas.openxmlformats.org/officeDocument/2006/relationships/webSettings" Target="webSettings.xml"/><Relationship Id="rId9" Type="http://schemas.openxmlformats.org/officeDocument/2006/relationships/hyperlink" Target="mailto:nnagata_ncgm@yahoo.co.jp" TargetMode="External"/><Relationship Id="rId14" Type="http://schemas.openxmlformats.org/officeDocument/2006/relationships/hyperlink" Target="https://paperpile.com/c/2ibOmq/gmrv" TargetMode="External"/><Relationship Id="rId22" Type="http://schemas.openxmlformats.org/officeDocument/2006/relationships/hyperlink" Target="https://paperpile.com/c/2ibOmq/AYbs" TargetMode="External"/><Relationship Id="rId27" Type="http://schemas.openxmlformats.org/officeDocument/2006/relationships/hyperlink" Target="https://paperpile.com/c/2ibOmq/4qnY" TargetMode="External"/><Relationship Id="rId30" Type="http://schemas.openxmlformats.org/officeDocument/2006/relationships/hyperlink" Target="https://paperpile.com/c/2ibOmq/XNYt" TargetMode="External"/><Relationship Id="rId35" Type="http://schemas.openxmlformats.org/officeDocument/2006/relationships/hyperlink" Target="http://paperpile.com/b/2ibOmq/gmrv" TargetMode="External"/><Relationship Id="rId43" Type="http://schemas.openxmlformats.org/officeDocument/2006/relationships/hyperlink" Target="http://paperpile.com/b/2ibOmq/Iyb8" TargetMode="External"/><Relationship Id="rId48" Type="http://schemas.openxmlformats.org/officeDocument/2006/relationships/hyperlink" Target="http://paperpile.com/b/2ibOmq/XNYt" TargetMode="External"/><Relationship Id="rId8" Type="http://schemas.openxmlformats.org/officeDocument/2006/relationships/hyperlink" Target="mailto:nishijima.suguru@gmail.com" TargetMode="External"/><Relationship Id="rId51" Type="http://schemas.openxmlformats.org/officeDocument/2006/relationships/hyperlink" Target="http://paperpile.com/b/2ibOmq/cSx8" TargetMode="External"/><Relationship Id="rId3" Type="http://schemas.openxmlformats.org/officeDocument/2006/relationships/settings" Target="settings.xml"/><Relationship Id="rId12" Type="http://schemas.openxmlformats.org/officeDocument/2006/relationships/hyperlink" Target="https://paperpile.com/c/2ibOmq/XaPj" TargetMode="External"/><Relationship Id="rId17" Type="http://schemas.openxmlformats.org/officeDocument/2006/relationships/image" Target="media/image3.png"/><Relationship Id="rId25" Type="http://schemas.openxmlformats.org/officeDocument/2006/relationships/hyperlink" Target="https://paperpile.com/c/2ibOmq/tpQH" TargetMode="External"/><Relationship Id="rId33" Type="http://schemas.openxmlformats.org/officeDocument/2006/relationships/hyperlink" Target="https://paperpile.com/c/2ibOmq/cSx8" TargetMode="External"/><Relationship Id="rId38" Type="http://schemas.openxmlformats.org/officeDocument/2006/relationships/hyperlink" Target="http://paperpile.com/b/2ibOmq/yeML" TargetMode="External"/><Relationship Id="rId46" Type="http://schemas.openxmlformats.org/officeDocument/2006/relationships/hyperlink" Target="http://paperpile.com/b/2ibOmq/OtNN" TargetMode="External"/><Relationship Id="rId20" Type="http://schemas.openxmlformats.org/officeDocument/2006/relationships/hyperlink" Target="https://paperpile.com/c/2ibOmq/ZkE2" TargetMode="External"/><Relationship Id="rId41" Type="http://schemas.openxmlformats.org/officeDocument/2006/relationships/hyperlink" Target="http://paperpile.com/b/2ibOmq/jRF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emf"/><Relationship Id="rId23" Type="http://schemas.openxmlformats.org/officeDocument/2006/relationships/hyperlink" Target="https://paperpile.com/c/2ibOmq/Iyb8" TargetMode="External"/><Relationship Id="rId28" Type="http://schemas.openxmlformats.org/officeDocument/2006/relationships/hyperlink" Target="https://paperpile.com/c/2ibOmq/tpQH" TargetMode="External"/><Relationship Id="rId36" Type="http://schemas.openxmlformats.org/officeDocument/2006/relationships/hyperlink" Target="http://dx.doi.org/10.3390/v13030506" TargetMode="External"/><Relationship Id="rId49" Type="http://schemas.openxmlformats.org/officeDocument/2006/relationships/hyperlink" Target="http://paperpile.com/b/2ibOmq/dSj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2493</Words>
  <Characters>14215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6</cp:revision>
  <dcterms:created xsi:type="dcterms:W3CDTF">2023-09-20T08:59:00Z</dcterms:created>
  <dcterms:modified xsi:type="dcterms:W3CDTF">2023-11-03T08:50:00Z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