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A01033" w:rsidRDefault="008815EE">
      <w:pPr>
        <w:rPr>
          <w:rFonts w:ascii="Arial" w:hAnsi="Arial" w:cs="Arial"/>
        </w:rPr>
      </w:pPr>
      <w:r w:rsidRPr="00A01033">
        <w:rPr>
          <w:rFonts w:ascii="Arial" w:hAnsi="Arial" w:cs="Arial"/>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Pr="00A01033" w:rsidRDefault="00A174CC">
      <w:pPr>
        <w:rPr>
          <w:rFonts w:ascii="Arial" w:hAnsi="Arial" w:cs="Arial"/>
          <w:color w:val="0000FF"/>
          <w:sz w:val="20"/>
          <w:szCs w:val="20"/>
        </w:rPr>
      </w:pPr>
    </w:p>
    <w:p w14:paraId="708456F4" w14:textId="77777777" w:rsidR="00A174CC" w:rsidRPr="00A01033" w:rsidRDefault="00A174CC">
      <w:pPr>
        <w:rPr>
          <w:rFonts w:ascii="Arial" w:hAnsi="Arial" w:cs="Arial"/>
          <w:color w:val="0000FF"/>
          <w:sz w:val="20"/>
          <w:szCs w:val="20"/>
        </w:rPr>
      </w:pPr>
    </w:p>
    <w:p w14:paraId="2008BDE9" w14:textId="77777777" w:rsidR="00A174CC" w:rsidRPr="00A01033" w:rsidRDefault="00A174CC">
      <w:pPr>
        <w:rPr>
          <w:rFonts w:ascii="Arial" w:hAnsi="Arial" w:cs="Arial"/>
          <w:color w:val="0000FF"/>
          <w:sz w:val="20"/>
          <w:szCs w:val="20"/>
        </w:rPr>
      </w:pPr>
    </w:p>
    <w:p w14:paraId="0A6A6372" w14:textId="77777777" w:rsidR="00A174CC" w:rsidRPr="00A01033" w:rsidRDefault="00A174CC">
      <w:pPr>
        <w:rPr>
          <w:rFonts w:ascii="Arial" w:hAnsi="Arial" w:cs="Arial"/>
          <w:color w:val="0000FF"/>
          <w:sz w:val="20"/>
          <w:szCs w:val="20"/>
        </w:rPr>
      </w:pPr>
    </w:p>
    <w:p w14:paraId="2E75D10D" w14:textId="77777777" w:rsidR="00A174CC" w:rsidRPr="00A01033" w:rsidRDefault="00A174CC">
      <w:pPr>
        <w:rPr>
          <w:rFonts w:ascii="Arial" w:hAnsi="Arial" w:cs="Arial"/>
          <w:color w:val="0000FF"/>
          <w:sz w:val="20"/>
          <w:szCs w:val="20"/>
        </w:rPr>
      </w:pPr>
    </w:p>
    <w:p w14:paraId="78E1A1E2" w14:textId="77777777" w:rsidR="00A174CC" w:rsidRPr="00A01033" w:rsidRDefault="00A174CC">
      <w:pPr>
        <w:rPr>
          <w:rFonts w:ascii="Arial" w:hAnsi="Arial" w:cs="Arial"/>
          <w:color w:val="0000FF"/>
          <w:sz w:val="20"/>
          <w:szCs w:val="20"/>
        </w:rPr>
      </w:pPr>
    </w:p>
    <w:p w14:paraId="0F7038A3" w14:textId="77777777" w:rsidR="00A174CC" w:rsidRPr="00A01033" w:rsidRDefault="008815EE">
      <w:pPr>
        <w:rPr>
          <w:rFonts w:ascii="Arial" w:hAnsi="Arial" w:cs="Arial"/>
          <w:sz w:val="22"/>
          <w:szCs w:val="22"/>
          <w:lang w:val="en-GB"/>
        </w:rPr>
      </w:pPr>
      <w:r w:rsidRPr="00A01033">
        <w:rPr>
          <w:rFonts w:ascii="Arial" w:hAnsi="Arial" w:cs="Arial"/>
          <w:b/>
          <w:color w:val="000000"/>
        </w:rPr>
        <w:t>Part 1:</w:t>
      </w:r>
      <w:r w:rsidRPr="00A01033">
        <w:rPr>
          <w:rFonts w:ascii="Arial" w:hAnsi="Arial" w:cs="Arial"/>
          <w:color w:val="000000"/>
          <w:sz w:val="22"/>
          <w:szCs w:val="22"/>
        </w:rPr>
        <w:t xml:space="preserve"> </w:t>
      </w:r>
      <w:r w:rsidRPr="00A01033">
        <w:rPr>
          <w:rFonts w:ascii="Arial" w:hAnsi="Arial" w:cs="Arial"/>
          <w:b/>
          <w:color w:val="000000"/>
          <w:sz w:val="22"/>
          <w:szCs w:val="22"/>
          <w:u w:val="single"/>
        </w:rPr>
        <w:t>TITLE, AUTHORS, APPROVALS, etc</w:t>
      </w:r>
    </w:p>
    <w:p w14:paraId="5F396E33" w14:textId="77777777" w:rsidR="00A174CC" w:rsidRPr="00A01033"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rsidRPr="00A01033"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A01033" w:rsidRDefault="008815EE">
            <w:pPr>
              <w:pStyle w:val="BodyTextIndent"/>
              <w:ind w:left="0" w:firstLine="0"/>
              <w:rPr>
                <w:rFonts w:ascii="Arial" w:hAnsi="Arial" w:cs="Arial"/>
                <w:b/>
                <w:i/>
                <w:sz w:val="36"/>
                <w:szCs w:val="36"/>
              </w:rPr>
            </w:pPr>
            <w:r w:rsidRPr="00A01033">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0CB983A" w:rsidR="00A174CC" w:rsidRPr="00A01033" w:rsidRDefault="00571FFA">
            <w:pPr>
              <w:pStyle w:val="BodyTextIndent"/>
              <w:ind w:left="0" w:firstLine="0"/>
              <w:jc w:val="center"/>
              <w:rPr>
                <w:rFonts w:ascii="Arial" w:hAnsi="Arial" w:cs="Arial"/>
                <w:b/>
                <w:bCs/>
                <w:i/>
                <w:sz w:val="28"/>
                <w:szCs w:val="28"/>
              </w:rPr>
            </w:pPr>
            <w:r>
              <w:rPr>
                <w:rFonts w:ascii="Arial" w:hAnsi="Arial" w:cs="Arial"/>
                <w:b/>
                <w:bCs/>
                <w:i/>
                <w:sz w:val="28"/>
                <w:szCs w:val="28"/>
              </w:rPr>
              <w:t>2022.049B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A01033" w:rsidRDefault="00A174CC">
            <w:pPr>
              <w:pStyle w:val="BodyTextIndent"/>
              <w:ind w:left="0" w:firstLine="0"/>
              <w:rPr>
                <w:rFonts w:ascii="Arial" w:hAnsi="Arial" w:cs="Arial"/>
              </w:rPr>
            </w:pPr>
          </w:p>
        </w:tc>
      </w:tr>
      <w:tr w:rsidR="00A174CC" w:rsidRPr="00A01033" w14:paraId="0AD321B2" w14:textId="77777777">
        <w:tc>
          <w:tcPr>
            <w:tcW w:w="9072" w:type="dxa"/>
            <w:gridSpan w:val="3"/>
            <w:tcBorders>
              <w:left w:val="double" w:sz="4" w:space="0" w:color="000000"/>
              <w:right w:val="double" w:sz="4" w:space="0" w:color="000000"/>
            </w:tcBorders>
            <w:shd w:val="clear" w:color="auto" w:fill="auto"/>
          </w:tcPr>
          <w:p w14:paraId="1B1B8BE9" w14:textId="6EF28850" w:rsidR="00A174CC" w:rsidRPr="00556927" w:rsidRDefault="008815EE">
            <w:pPr>
              <w:spacing w:before="120"/>
              <w:rPr>
                <w:rFonts w:ascii="Arial" w:hAnsi="Arial" w:cs="Arial"/>
                <w:b/>
                <w:iCs/>
              </w:rPr>
            </w:pPr>
            <w:r w:rsidRPr="00A01033">
              <w:rPr>
                <w:rFonts w:ascii="Arial" w:hAnsi="Arial" w:cs="Arial"/>
                <w:b/>
              </w:rPr>
              <w:t>Short title:</w:t>
            </w:r>
            <w:r w:rsidRPr="00A01033">
              <w:rPr>
                <w:rFonts w:ascii="Arial" w:hAnsi="Arial" w:cs="Arial"/>
                <w:bCs/>
              </w:rPr>
              <w:t xml:space="preserve"> </w:t>
            </w:r>
            <w:r w:rsidRPr="00A01033">
              <w:rPr>
                <w:rFonts w:ascii="Arial" w:hAnsi="Arial" w:cs="Arial"/>
                <w:sz w:val="22"/>
                <w:szCs w:val="22"/>
              </w:rPr>
              <w:t xml:space="preserve">Create </w:t>
            </w:r>
            <w:r w:rsidR="00A2131F" w:rsidRPr="00A01033">
              <w:rPr>
                <w:rFonts w:ascii="Arial" w:hAnsi="Arial" w:cs="Arial"/>
                <w:sz w:val="22"/>
                <w:szCs w:val="22"/>
              </w:rPr>
              <w:t xml:space="preserve">one </w:t>
            </w:r>
            <w:r w:rsidRPr="00A01033">
              <w:rPr>
                <w:rFonts w:ascii="Arial" w:hAnsi="Arial" w:cs="Arial"/>
                <w:sz w:val="22"/>
                <w:szCs w:val="22"/>
              </w:rPr>
              <w:t xml:space="preserve">new species in the genus </w:t>
            </w:r>
            <w:r w:rsidR="00A2131F" w:rsidRPr="00A01033">
              <w:rPr>
                <w:rFonts w:ascii="Arial" w:hAnsi="Arial" w:cs="Arial"/>
                <w:i/>
                <w:sz w:val="22"/>
                <w:szCs w:val="22"/>
              </w:rPr>
              <w:t>Menderavirus</w:t>
            </w:r>
            <w:r w:rsidR="00543F86" w:rsidRPr="00A01033">
              <w:rPr>
                <w:rFonts w:ascii="Arial" w:hAnsi="Arial" w:cs="Arial"/>
                <w:i/>
                <w:sz w:val="22"/>
                <w:szCs w:val="22"/>
              </w:rPr>
              <w:t xml:space="preserve"> </w:t>
            </w:r>
            <w:r w:rsidR="00556927">
              <w:rPr>
                <w:rFonts w:ascii="Arial" w:hAnsi="Arial" w:cs="Arial"/>
                <w:iCs/>
                <w:sz w:val="22"/>
                <w:szCs w:val="22"/>
              </w:rPr>
              <w:t>(</w:t>
            </w:r>
            <w:r w:rsidR="00556927">
              <w:rPr>
                <w:rFonts w:ascii="Arial" w:hAnsi="Arial" w:cs="Arial"/>
                <w:i/>
                <w:sz w:val="22"/>
                <w:szCs w:val="22"/>
              </w:rPr>
              <w:t>Caudoviricetes</w:t>
            </w:r>
            <w:r w:rsidR="00556927">
              <w:rPr>
                <w:rFonts w:ascii="Arial" w:hAnsi="Arial" w:cs="Arial"/>
                <w:iCs/>
                <w:sz w:val="22"/>
                <w:szCs w:val="22"/>
              </w:rPr>
              <w:t>)</w:t>
            </w:r>
          </w:p>
        </w:tc>
      </w:tr>
      <w:tr w:rsidR="00A174CC" w:rsidRPr="00A01033"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A01033" w:rsidRDefault="00A174CC">
            <w:pPr>
              <w:rPr>
                <w:rFonts w:ascii="Arial" w:hAnsi="Arial" w:cs="Arial"/>
                <w:b/>
                <w:sz w:val="22"/>
                <w:szCs w:val="22"/>
              </w:rPr>
            </w:pPr>
          </w:p>
        </w:tc>
      </w:tr>
    </w:tbl>
    <w:p w14:paraId="38C92193" w14:textId="77777777" w:rsidR="00A174CC" w:rsidRPr="00A01033" w:rsidRDefault="008815EE">
      <w:pPr>
        <w:spacing w:before="120" w:after="120"/>
        <w:rPr>
          <w:rFonts w:ascii="Arial" w:hAnsi="Arial" w:cs="Arial"/>
          <w:b/>
        </w:rPr>
      </w:pPr>
      <w:r w:rsidRPr="00A01033">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556927" w14:paraId="67E4419A" w14:textId="77777777" w:rsidTr="008A302B">
        <w:tc>
          <w:tcPr>
            <w:tcW w:w="4368" w:type="dxa"/>
            <w:shd w:val="clear" w:color="auto" w:fill="auto"/>
          </w:tcPr>
          <w:p w14:paraId="5B4DA008" w14:textId="712E2372" w:rsidR="00A174CC" w:rsidRPr="00556927" w:rsidRDefault="00A2078E" w:rsidP="008A19FA">
            <w:pPr>
              <w:rPr>
                <w:rFonts w:ascii="Arial" w:hAnsi="Arial" w:cs="Arial"/>
                <w:sz w:val="22"/>
                <w:szCs w:val="22"/>
                <w:lang w:val="fr-FR"/>
              </w:rPr>
            </w:pPr>
            <w:r w:rsidRPr="00556927">
              <w:rPr>
                <w:rFonts w:ascii="Arial" w:hAnsi="Arial" w:cs="Arial"/>
                <w:sz w:val="22"/>
                <w:szCs w:val="22"/>
                <w:lang w:val="fr-FR"/>
              </w:rPr>
              <w:t>Vázquez-Campos X</w:t>
            </w:r>
            <w:r w:rsidR="008A19FA" w:rsidRPr="00556927">
              <w:rPr>
                <w:rFonts w:ascii="Arial" w:hAnsi="Arial" w:cs="Arial"/>
                <w:sz w:val="22"/>
                <w:szCs w:val="22"/>
                <w:lang w:val="fr-FR"/>
              </w:rPr>
              <w:t xml:space="preserve">, </w:t>
            </w:r>
            <w:r w:rsidR="009C1A36" w:rsidRPr="00556927">
              <w:rPr>
                <w:rFonts w:ascii="Arial" w:hAnsi="Arial" w:cs="Arial"/>
                <w:sz w:val="22"/>
                <w:szCs w:val="22"/>
                <w:lang w:val="fr-FR"/>
              </w:rPr>
              <w:t>Damnjanović D</w:t>
            </w:r>
          </w:p>
        </w:tc>
        <w:tc>
          <w:tcPr>
            <w:tcW w:w="4704" w:type="dxa"/>
            <w:shd w:val="clear" w:color="auto" w:fill="auto"/>
          </w:tcPr>
          <w:p w14:paraId="4C0145EC" w14:textId="23A22371" w:rsidR="009C1A36" w:rsidRPr="00556927" w:rsidRDefault="00A2078E" w:rsidP="008A19FA">
            <w:pPr>
              <w:rPr>
                <w:rFonts w:ascii="Arial" w:hAnsi="Arial" w:cs="Arial"/>
                <w:sz w:val="22"/>
                <w:szCs w:val="22"/>
                <w:lang w:val="fr-FR"/>
              </w:rPr>
            </w:pPr>
            <w:proofErr w:type="gramStart"/>
            <w:r w:rsidRPr="00571FFA">
              <w:rPr>
                <w:rFonts w:ascii="Arial" w:hAnsi="Arial" w:cs="Arial"/>
                <w:sz w:val="22"/>
                <w:szCs w:val="22"/>
                <w:lang w:val="fr-FR"/>
              </w:rPr>
              <w:t>xvazquezc@gmail.com</w:t>
            </w:r>
            <w:r w:rsidRPr="00556927">
              <w:rPr>
                <w:rFonts w:ascii="Arial" w:hAnsi="Arial" w:cs="Arial"/>
                <w:sz w:val="22"/>
                <w:szCs w:val="22"/>
                <w:lang w:val="fr-FR"/>
              </w:rPr>
              <w:t>;</w:t>
            </w:r>
            <w:proofErr w:type="gramEnd"/>
            <w:r w:rsidR="008A19FA" w:rsidRPr="00556927">
              <w:rPr>
                <w:rFonts w:ascii="Arial" w:hAnsi="Arial" w:cs="Arial"/>
                <w:sz w:val="22"/>
                <w:szCs w:val="22"/>
                <w:lang w:val="fr-FR"/>
              </w:rPr>
              <w:t xml:space="preserve"> </w:t>
            </w:r>
            <w:r w:rsidR="009C1A36" w:rsidRPr="00571FFA">
              <w:rPr>
                <w:rFonts w:ascii="Arial" w:hAnsi="Arial" w:cs="Arial"/>
                <w:sz w:val="22"/>
                <w:szCs w:val="22"/>
                <w:lang w:val="fr-FR"/>
              </w:rPr>
              <w:t>d.damnjanovic@unsw.edu.au</w:t>
            </w:r>
          </w:p>
        </w:tc>
      </w:tr>
    </w:tbl>
    <w:p w14:paraId="3AB5AD1A" w14:textId="77777777" w:rsidR="00A174CC" w:rsidRPr="00A01033" w:rsidRDefault="008815EE">
      <w:pPr>
        <w:spacing w:before="120" w:after="120"/>
        <w:rPr>
          <w:rFonts w:ascii="Arial" w:hAnsi="Arial" w:cs="Arial"/>
          <w:color w:val="0000FF"/>
          <w:sz w:val="20"/>
          <w:szCs w:val="20"/>
        </w:rPr>
      </w:pPr>
      <w:r w:rsidRPr="00A01033">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A01033" w14:paraId="3467A41D" w14:textId="77777777">
        <w:tc>
          <w:tcPr>
            <w:tcW w:w="9072" w:type="dxa"/>
            <w:shd w:val="clear" w:color="auto" w:fill="auto"/>
          </w:tcPr>
          <w:p w14:paraId="1033F5C1" w14:textId="5090DC19" w:rsidR="00A174CC" w:rsidRPr="00A01033" w:rsidRDefault="00A2131F">
            <w:pPr>
              <w:rPr>
                <w:rFonts w:ascii="Arial" w:hAnsi="Arial" w:cs="Arial"/>
                <w:sz w:val="22"/>
                <w:szCs w:val="22"/>
              </w:rPr>
            </w:pPr>
            <w:r w:rsidRPr="00A01033">
              <w:rPr>
                <w:rFonts w:ascii="Arial" w:hAnsi="Arial" w:cs="Arial"/>
                <w:sz w:val="22"/>
                <w:szCs w:val="22"/>
              </w:rPr>
              <w:t>School of Biotechnology and Biomolecular Sciences</w:t>
            </w:r>
            <w:r w:rsidR="00995672">
              <w:rPr>
                <w:rFonts w:ascii="Arial" w:hAnsi="Arial" w:cs="Arial"/>
                <w:sz w:val="22"/>
                <w:szCs w:val="22"/>
              </w:rPr>
              <w:t>, University of New South Wales</w:t>
            </w:r>
            <w:r w:rsidRPr="00A01033">
              <w:rPr>
                <w:rFonts w:ascii="Arial" w:hAnsi="Arial" w:cs="Arial"/>
                <w:sz w:val="22"/>
                <w:szCs w:val="22"/>
              </w:rPr>
              <w:t xml:space="preserve"> [XVC, DD]</w:t>
            </w:r>
          </w:p>
        </w:tc>
      </w:tr>
    </w:tbl>
    <w:p w14:paraId="070FAC74" w14:textId="77777777" w:rsidR="00A174CC" w:rsidRPr="00A01033" w:rsidRDefault="008815EE">
      <w:pPr>
        <w:spacing w:before="120" w:after="120"/>
        <w:rPr>
          <w:rFonts w:ascii="Arial" w:hAnsi="Arial" w:cs="Arial"/>
          <w:b/>
        </w:rPr>
      </w:pPr>
      <w:r w:rsidRPr="00A01033">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A01033" w14:paraId="5D211014" w14:textId="77777777">
        <w:tc>
          <w:tcPr>
            <w:tcW w:w="9072" w:type="dxa"/>
            <w:shd w:val="clear" w:color="auto" w:fill="auto"/>
          </w:tcPr>
          <w:p w14:paraId="7F578F4A" w14:textId="4CF44E15" w:rsidR="00A174CC" w:rsidRPr="00A01033" w:rsidRDefault="00842F07">
            <w:pPr>
              <w:rPr>
                <w:rFonts w:ascii="Arial" w:hAnsi="Arial" w:cs="Arial"/>
                <w:sz w:val="22"/>
                <w:szCs w:val="22"/>
              </w:rPr>
            </w:pPr>
            <w:r w:rsidRPr="00A01033">
              <w:rPr>
                <w:rFonts w:ascii="Arial" w:hAnsi="Arial" w:cs="Arial"/>
                <w:sz w:val="22"/>
                <w:szCs w:val="22"/>
              </w:rPr>
              <w:t>Vázquez-Campos X</w:t>
            </w:r>
          </w:p>
        </w:tc>
      </w:tr>
    </w:tbl>
    <w:p w14:paraId="5872B564" w14:textId="77777777" w:rsidR="00A174CC" w:rsidRPr="00A01033" w:rsidRDefault="008815EE">
      <w:pPr>
        <w:spacing w:before="120" w:after="120"/>
        <w:rPr>
          <w:rFonts w:ascii="Arial" w:hAnsi="Arial" w:cs="Arial"/>
          <w:b/>
        </w:rPr>
      </w:pPr>
      <w:r w:rsidRPr="00A01033">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rsidRPr="00A01033" w14:paraId="30BD955D" w14:textId="77777777">
        <w:tc>
          <w:tcPr>
            <w:tcW w:w="9072" w:type="dxa"/>
            <w:shd w:val="clear" w:color="auto" w:fill="auto"/>
          </w:tcPr>
          <w:p w14:paraId="208F33A9" w14:textId="536464E7" w:rsidR="00A174CC" w:rsidRPr="00A01033" w:rsidRDefault="009C1A36" w:rsidP="008A19FA">
            <w:pPr>
              <w:rPr>
                <w:rFonts w:ascii="Arial" w:hAnsi="Arial" w:cs="Arial"/>
                <w:sz w:val="22"/>
                <w:szCs w:val="22"/>
              </w:rPr>
            </w:pPr>
            <w:r w:rsidRPr="00A01033">
              <w:rPr>
                <w:rFonts w:ascii="Arial" w:hAnsi="Arial" w:cs="Arial"/>
                <w:i/>
                <w:iCs/>
                <w:sz w:val="22"/>
                <w:szCs w:val="22"/>
              </w:rPr>
              <w:t>Caudoviricetes</w:t>
            </w:r>
            <w:r w:rsidRPr="00A01033">
              <w:rPr>
                <w:rFonts w:ascii="Arial" w:hAnsi="Arial" w:cs="Arial"/>
                <w:sz w:val="22"/>
                <w:szCs w:val="22"/>
              </w:rPr>
              <w:t xml:space="preserve"> Study Group, Bacterial and Archaeal Viruses Subcommittee</w:t>
            </w:r>
          </w:p>
        </w:tc>
      </w:tr>
    </w:tbl>
    <w:p w14:paraId="7417E8C0" w14:textId="7C77ACDC" w:rsidR="00A174CC" w:rsidRPr="00A01033" w:rsidRDefault="008815EE">
      <w:pPr>
        <w:spacing w:before="120" w:after="120"/>
        <w:rPr>
          <w:rFonts w:ascii="Arial" w:hAnsi="Arial" w:cs="Arial"/>
          <w:b/>
        </w:rPr>
      </w:pPr>
      <w:r w:rsidRPr="00A01033">
        <w:rPr>
          <w:rFonts w:ascii="Arial" w:hAnsi="Arial" w:cs="Arial"/>
          <w:b/>
        </w:rPr>
        <w:t xml:space="preserve">ICTV </w:t>
      </w:r>
      <w:r w:rsidR="0037243A" w:rsidRPr="00A01033">
        <w:rPr>
          <w:rFonts w:ascii="Arial" w:hAnsi="Arial" w:cs="Arial"/>
          <w:b/>
        </w:rPr>
        <w:t>S</w:t>
      </w:r>
      <w:r w:rsidRPr="00A01033">
        <w:rPr>
          <w:rFonts w:ascii="Arial" w:hAnsi="Arial" w:cs="Arial"/>
          <w:b/>
        </w:rPr>
        <w:t xml:space="preserve">tudy </w:t>
      </w:r>
      <w:r w:rsidR="0037243A" w:rsidRPr="00A01033">
        <w:rPr>
          <w:rFonts w:ascii="Arial" w:hAnsi="Arial" w:cs="Arial"/>
          <w:b/>
        </w:rPr>
        <w:t>G</w:t>
      </w:r>
      <w:r w:rsidRPr="00A01033">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rsidRPr="00A01033" w14:paraId="7D72A422" w14:textId="77777777">
        <w:tc>
          <w:tcPr>
            <w:tcW w:w="9072" w:type="dxa"/>
            <w:shd w:val="clear" w:color="auto" w:fill="auto"/>
          </w:tcPr>
          <w:p w14:paraId="5960DB87" w14:textId="77777777" w:rsidR="00A174CC" w:rsidRPr="00A01033" w:rsidRDefault="00A174CC">
            <w:pPr>
              <w:rPr>
                <w:rFonts w:ascii="Arial" w:hAnsi="Arial" w:cs="Arial"/>
                <w:sz w:val="22"/>
                <w:szCs w:val="22"/>
              </w:rPr>
            </w:pPr>
          </w:p>
          <w:p w14:paraId="73D29CFC" w14:textId="77777777" w:rsidR="00A174CC" w:rsidRPr="00A01033" w:rsidRDefault="00A174CC">
            <w:pPr>
              <w:rPr>
                <w:rFonts w:ascii="Arial" w:hAnsi="Arial" w:cs="Arial"/>
                <w:sz w:val="22"/>
                <w:szCs w:val="22"/>
              </w:rPr>
            </w:pPr>
          </w:p>
          <w:p w14:paraId="71DD72AB" w14:textId="77777777" w:rsidR="00A174CC" w:rsidRPr="00A01033" w:rsidRDefault="00A174CC">
            <w:pPr>
              <w:rPr>
                <w:rFonts w:ascii="Arial" w:hAnsi="Arial" w:cs="Arial"/>
                <w:sz w:val="22"/>
                <w:szCs w:val="22"/>
              </w:rPr>
            </w:pPr>
          </w:p>
          <w:p w14:paraId="57850587" w14:textId="77777777" w:rsidR="00A174CC" w:rsidRPr="00A01033" w:rsidRDefault="00A174CC">
            <w:pPr>
              <w:rPr>
                <w:rFonts w:ascii="Arial" w:hAnsi="Arial" w:cs="Arial"/>
                <w:sz w:val="22"/>
                <w:szCs w:val="22"/>
              </w:rPr>
            </w:pPr>
          </w:p>
          <w:p w14:paraId="2531EC2E" w14:textId="77777777" w:rsidR="00A174CC" w:rsidRPr="00A01033" w:rsidRDefault="00A174CC">
            <w:pPr>
              <w:rPr>
                <w:rFonts w:ascii="Arial" w:hAnsi="Arial" w:cs="Arial"/>
                <w:sz w:val="22"/>
                <w:szCs w:val="22"/>
              </w:rPr>
            </w:pPr>
          </w:p>
          <w:p w14:paraId="073E55EA" w14:textId="77777777" w:rsidR="00A174CC" w:rsidRPr="00A01033" w:rsidRDefault="00A174CC">
            <w:pPr>
              <w:rPr>
                <w:rFonts w:ascii="Arial" w:hAnsi="Arial" w:cs="Arial"/>
                <w:sz w:val="22"/>
                <w:szCs w:val="22"/>
              </w:rPr>
            </w:pPr>
          </w:p>
        </w:tc>
      </w:tr>
    </w:tbl>
    <w:p w14:paraId="368D6CB8" w14:textId="6B3DBA18" w:rsidR="0037243A" w:rsidRPr="00A01033" w:rsidRDefault="0037243A" w:rsidP="0037243A">
      <w:pPr>
        <w:spacing w:before="120" w:after="120"/>
        <w:rPr>
          <w:rFonts w:ascii="Arial" w:hAnsi="Arial" w:cs="Arial"/>
          <w:b/>
        </w:rPr>
      </w:pPr>
      <w:r w:rsidRPr="00A01033">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rsidRPr="00A01033" w14:paraId="7DCD6D13" w14:textId="565F9AE3" w:rsidTr="0037243A">
        <w:tc>
          <w:tcPr>
            <w:tcW w:w="2977" w:type="dxa"/>
            <w:vMerge w:val="restart"/>
            <w:shd w:val="clear" w:color="auto" w:fill="auto"/>
          </w:tcPr>
          <w:p w14:paraId="042D318C" w14:textId="1900F67B" w:rsidR="0037243A" w:rsidRPr="00A01033" w:rsidRDefault="0037243A" w:rsidP="0072495C">
            <w:pPr>
              <w:rPr>
                <w:rFonts w:ascii="Arial" w:hAnsi="Arial" w:cs="Arial"/>
                <w:b/>
                <w:bCs/>
                <w:color w:val="000000"/>
                <w:sz w:val="22"/>
                <w:szCs w:val="22"/>
              </w:rPr>
            </w:pPr>
            <w:r w:rsidRPr="00A01033">
              <w:rPr>
                <w:rFonts w:ascii="Arial" w:hAnsi="Arial" w:cs="Arial"/>
                <w:b/>
                <w:bCs/>
                <w:color w:val="000000"/>
                <w:sz w:val="22"/>
                <w:szCs w:val="22"/>
              </w:rPr>
              <w:t xml:space="preserve">Study </w:t>
            </w:r>
            <w:r w:rsidR="004F3196" w:rsidRPr="00A01033">
              <w:rPr>
                <w:rFonts w:ascii="Arial" w:hAnsi="Arial" w:cs="Arial"/>
                <w:b/>
                <w:bCs/>
                <w:color w:val="000000"/>
                <w:sz w:val="22"/>
                <w:szCs w:val="22"/>
              </w:rPr>
              <w:t>G</w:t>
            </w:r>
            <w:r w:rsidRPr="00A01033">
              <w:rPr>
                <w:rFonts w:ascii="Arial" w:hAnsi="Arial" w:cs="Arial"/>
                <w:b/>
                <w:bCs/>
                <w:color w:val="000000"/>
                <w:sz w:val="22"/>
                <w:szCs w:val="22"/>
              </w:rPr>
              <w:t>roup</w:t>
            </w:r>
          </w:p>
        </w:tc>
        <w:tc>
          <w:tcPr>
            <w:tcW w:w="6095" w:type="dxa"/>
            <w:gridSpan w:val="3"/>
            <w:shd w:val="clear" w:color="auto" w:fill="auto"/>
          </w:tcPr>
          <w:p w14:paraId="2CC5EB5B" w14:textId="6311375D" w:rsidR="0037243A" w:rsidRPr="00A01033" w:rsidRDefault="0037243A" w:rsidP="0037243A">
            <w:pPr>
              <w:jc w:val="center"/>
              <w:rPr>
                <w:rFonts w:ascii="Arial" w:hAnsi="Arial" w:cs="Arial"/>
                <w:b/>
                <w:bCs/>
                <w:color w:val="000000"/>
                <w:sz w:val="22"/>
                <w:szCs w:val="22"/>
              </w:rPr>
            </w:pPr>
            <w:r w:rsidRPr="00A01033">
              <w:rPr>
                <w:rFonts w:ascii="Arial" w:hAnsi="Arial" w:cs="Arial"/>
                <w:b/>
                <w:bCs/>
                <w:color w:val="000000"/>
                <w:sz w:val="22"/>
                <w:szCs w:val="22"/>
              </w:rPr>
              <w:t>Number of member</w:t>
            </w:r>
            <w:r w:rsidR="000F51F4" w:rsidRPr="00A01033">
              <w:rPr>
                <w:rFonts w:ascii="Arial" w:hAnsi="Arial" w:cs="Arial"/>
                <w:b/>
                <w:bCs/>
                <w:color w:val="000000"/>
                <w:sz w:val="22"/>
                <w:szCs w:val="22"/>
              </w:rPr>
              <w:t>s</w:t>
            </w:r>
          </w:p>
        </w:tc>
      </w:tr>
      <w:tr w:rsidR="0037243A" w:rsidRPr="00A01033" w14:paraId="09ADD7D8" w14:textId="796C02A4" w:rsidTr="004F3196">
        <w:tc>
          <w:tcPr>
            <w:tcW w:w="2977" w:type="dxa"/>
            <w:vMerge/>
            <w:shd w:val="clear" w:color="auto" w:fill="auto"/>
          </w:tcPr>
          <w:p w14:paraId="4CDE6FC8" w14:textId="77777777" w:rsidR="0037243A" w:rsidRPr="00A01033" w:rsidRDefault="0037243A" w:rsidP="0072495C">
            <w:pPr>
              <w:rPr>
                <w:rFonts w:ascii="Arial" w:hAnsi="Arial" w:cs="Arial"/>
                <w:sz w:val="22"/>
                <w:szCs w:val="22"/>
              </w:rPr>
            </w:pPr>
          </w:p>
        </w:tc>
        <w:tc>
          <w:tcPr>
            <w:tcW w:w="1984" w:type="dxa"/>
            <w:shd w:val="clear" w:color="auto" w:fill="auto"/>
          </w:tcPr>
          <w:p w14:paraId="0C732B7E" w14:textId="10977B36" w:rsidR="0037243A" w:rsidRPr="00A01033" w:rsidRDefault="000F51F4" w:rsidP="0037243A">
            <w:pPr>
              <w:jc w:val="center"/>
              <w:rPr>
                <w:rFonts w:ascii="Arial" w:hAnsi="Arial" w:cs="Arial"/>
                <w:b/>
                <w:bCs/>
                <w:sz w:val="22"/>
                <w:szCs w:val="22"/>
              </w:rPr>
            </w:pPr>
            <w:r w:rsidRPr="00A01033">
              <w:rPr>
                <w:rFonts w:ascii="Arial" w:hAnsi="Arial" w:cs="Arial"/>
                <w:b/>
                <w:bCs/>
                <w:sz w:val="22"/>
                <w:szCs w:val="22"/>
              </w:rPr>
              <w:t xml:space="preserve">Votes </w:t>
            </w:r>
            <w:r w:rsidR="0037243A" w:rsidRPr="00A01033">
              <w:rPr>
                <w:rFonts w:ascii="Arial" w:hAnsi="Arial" w:cs="Arial"/>
                <w:b/>
                <w:bCs/>
                <w:sz w:val="22"/>
                <w:szCs w:val="22"/>
              </w:rPr>
              <w:t>support</w:t>
            </w:r>
          </w:p>
        </w:tc>
        <w:tc>
          <w:tcPr>
            <w:tcW w:w="1985" w:type="dxa"/>
            <w:shd w:val="clear" w:color="auto" w:fill="auto"/>
          </w:tcPr>
          <w:p w14:paraId="39584077" w14:textId="5A1B6183" w:rsidR="0037243A" w:rsidRPr="00A01033" w:rsidRDefault="000F51F4" w:rsidP="0037243A">
            <w:pPr>
              <w:jc w:val="center"/>
              <w:rPr>
                <w:rFonts w:ascii="Arial" w:hAnsi="Arial" w:cs="Arial"/>
                <w:b/>
                <w:bCs/>
                <w:sz w:val="22"/>
                <w:szCs w:val="22"/>
              </w:rPr>
            </w:pPr>
            <w:r w:rsidRPr="00A01033">
              <w:rPr>
                <w:rFonts w:ascii="Arial" w:hAnsi="Arial" w:cs="Arial"/>
                <w:b/>
                <w:bCs/>
                <w:sz w:val="22"/>
                <w:szCs w:val="22"/>
              </w:rPr>
              <w:t>Votes against</w:t>
            </w:r>
          </w:p>
        </w:tc>
        <w:tc>
          <w:tcPr>
            <w:tcW w:w="2126" w:type="dxa"/>
          </w:tcPr>
          <w:p w14:paraId="3FAE5653" w14:textId="1C50F0C2" w:rsidR="0037243A" w:rsidRPr="00A01033" w:rsidRDefault="000F51F4" w:rsidP="0037243A">
            <w:pPr>
              <w:jc w:val="center"/>
              <w:rPr>
                <w:rFonts w:ascii="Arial" w:hAnsi="Arial" w:cs="Arial"/>
                <w:b/>
                <w:bCs/>
                <w:sz w:val="22"/>
                <w:szCs w:val="22"/>
              </w:rPr>
            </w:pPr>
            <w:r w:rsidRPr="00A01033">
              <w:rPr>
                <w:rFonts w:ascii="Arial" w:hAnsi="Arial" w:cs="Arial"/>
                <w:b/>
                <w:bCs/>
                <w:sz w:val="22"/>
                <w:szCs w:val="22"/>
              </w:rPr>
              <w:t>N</w:t>
            </w:r>
            <w:r w:rsidR="0037243A" w:rsidRPr="00A01033">
              <w:rPr>
                <w:rFonts w:ascii="Arial" w:hAnsi="Arial" w:cs="Arial"/>
                <w:b/>
                <w:bCs/>
                <w:sz w:val="22"/>
                <w:szCs w:val="22"/>
              </w:rPr>
              <w:t>o vote</w:t>
            </w:r>
          </w:p>
        </w:tc>
      </w:tr>
      <w:tr w:rsidR="0037243A" w:rsidRPr="00A01033" w14:paraId="1702CDE1" w14:textId="10B24E51" w:rsidTr="004F3196">
        <w:tc>
          <w:tcPr>
            <w:tcW w:w="2977" w:type="dxa"/>
            <w:shd w:val="clear" w:color="auto" w:fill="auto"/>
          </w:tcPr>
          <w:p w14:paraId="6D3E3F4D" w14:textId="77777777" w:rsidR="0037243A" w:rsidRPr="00A01033" w:rsidRDefault="0037243A" w:rsidP="0072495C">
            <w:pPr>
              <w:rPr>
                <w:rFonts w:ascii="Arial" w:hAnsi="Arial" w:cs="Arial"/>
                <w:sz w:val="22"/>
                <w:szCs w:val="22"/>
              </w:rPr>
            </w:pPr>
          </w:p>
        </w:tc>
        <w:tc>
          <w:tcPr>
            <w:tcW w:w="1984" w:type="dxa"/>
            <w:shd w:val="clear" w:color="auto" w:fill="auto"/>
          </w:tcPr>
          <w:p w14:paraId="080F51E8" w14:textId="77777777" w:rsidR="0037243A" w:rsidRPr="00A01033" w:rsidRDefault="0037243A" w:rsidP="0072495C">
            <w:pPr>
              <w:rPr>
                <w:rFonts w:ascii="Arial" w:hAnsi="Arial" w:cs="Arial"/>
                <w:sz w:val="22"/>
                <w:szCs w:val="22"/>
              </w:rPr>
            </w:pPr>
          </w:p>
        </w:tc>
        <w:tc>
          <w:tcPr>
            <w:tcW w:w="1985" w:type="dxa"/>
            <w:shd w:val="clear" w:color="auto" w:fill="auto"/>
          </w:tcPr>
          <w:p w14:paraId="4EC5D82B" w14:textId="77777777" w:rsidR="0037243A" w:rsidRPr="00A01033" w:rsidRDefault="0037243A" w:rsidP="0072495C">
            <w:pPr>
              <w:rPr>
                <w:rFonts w:ascii="Arial" w:hAnsi="Arial" w:cs="Arial"/>
                <w:sz w:val="22"/>
                <w:szCs w:val="22"/>
              </w:rPr>
            </w:pPr>
          </w:p>
        </w:tc>
        <w:tc>
          <w:tcPr>
            <w:tcW w:w="2126" w:type="dxa"/>
          </w:tcPr>
          <w:p w14:paraId="23732184" w14:textId="77777777" w:rsidR="0037243A" w:rsidRPr="00A01033" w:rsidRDefault="0037243A" w:rsidP="0072495C">
            <w:pPr>
              <w:rPr>
                <w:rFonts w:ascii="Arial" w:hAnsi="Arial" w:cs="Arial"/>
                <w:sz w:val="22"/>
                <w:szCs w:val="22"/>
              </w:rPr>
            </w:pPr>
          </w:p>
        </w:tc>
      </w:tr>
      <w:tr w:rsidR="0037243A" w:rsidRPr="00A01033" w14:paraId="594F4C66" w14:textId="3CF379DD" w:rsidTr="004F3196">
        <w:tc>
          <w:tcPr>
            <w:tcW w:w="2977" w:type="dxa"/>
            <w:shd w:val="clear" w:color="auto" w:fill="auto"/>
          </w:tcPr>
          <w:p w14:paraId="61A0E590" w14:textId="77777777" w:rsidR="0037243A" w:rsidRPr="00A01033" w:rsidRDefault="0037243A" w:rsidP="0072495C">
            <w:pPr>
              <w:rPr>
                <w:rFonts w:ascii="Arial" w:hAnsi="Arial" w:cs="Arial"/>
                <w:sz w:val="22"/>
                <w:szCs w:val="22"/>
              </w:rPr>
            </w:pPr>
          </w:p>
        </w:tc>
        <w:tc>
          <w:tcPr>
            <w:tcW w:w="1984" w:type="dxa"/>
            <w:shd w:val="clear" w:color="auto" w:fill="auto"/>
          </w:tcPr>
          <w:p w14:paraId="7493A152" w14:textId="77777777" w:rsidR="0037243A" w:rsidRPr="00A01033" w:rsidRDefault="0037243A" w:rsidP="0072495C">
            <w:pPr>
              <w:rPr>
                <w:rFonts w:ascii="Arial" w:hAnsi="Arial" w:cs="Arial"/>
                <w:sz w:val="22"/>
                <w:szCs w:val="22"/>
              </w:rPr>
            </w:pPr>
          </w:p>
        </w:tc>
        <w:tc>
          <w:tcPr>
            <w:tcW w:w="1985" w:type="dxa"/>
            <w:shd w:val="clear" w:color="auto" w:fill="auto"/>
          </w:tcPr>
          <w:p w14:paraId="5EA0C916" w14:textId="77777777" w:rsidR="0037243A" w:rsidRPr="00A01033" w:rsidRDefault="0037243A" w:rsidP="0072495C">
            <w:pPr>
              <w:rPr>
                <w:rFonts w:ascii="Arial" w:hAnsi="Arial" w:cs="Arial"/>
                <w:sz w:val="22"/>
                <w:szCs w:val="22"/>
              </w:rPr>
            </w:pPr>
          </w:p>
        </w:tc>
        <w:tc>
          <w:tcPr>
            <w:tcW w:w="2126" w:type="dxa"/>
          </w:tcPr>
          <w:p w14:paraId="6396F54A" w14:textId="77777777" w:rsidR="0037243A" w:rsidRPr="00A01033" w:rsidRDefault="0037243A" w:rsidP="0072495C">
            <w:pPr>
              <w:rPr>
                <w:rFonts w:ascii="Arial" w:hAnsi="Arial" w:cs="Arial"/>
                <w:sz w:val="22"/>
                <w:szCs w:val="22"/>
              </w:rPr>
            </w:pPr>
          </w:p>
        </w:tc>
      </w:tr>
    </w:tbl>
    <w:p w14:paraId="320F9A0C" w14:textId="4548BB65" w:rsidR="00A174CC" w:rsidRPr="00A01033" w:rsidRDefault="008815EE">
      <w:pPr>
        <w:spacing w:before="120" w:after="120"/>
        <w:rPr>
          <w:rFonts w:ascii="Arial" w:hAnsi="Arial" w:cs="Arial"/>
          <w:b/>
        </w:rPr>
      </w:pPr>
      <w:r w:rsidRPr="00A01033">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rsidRPr="00A01033" w14:paraId="34706E93" w14:textId="77777777" w:rsidTr="008A302B">
        <w:tc>
          <w:tcPr>
            <w:tcW w:w="7939" w:type="dxa"/>
            <w:shd w:val="clear" w:color="auto" w:fill="auto"/>
          </w:tcPr>
          <w:p w14:paraId="41B3284A" w14:textId="77777777" w:rsidR="00A174CC" w:rsidRPr="00A01033" w:rsidRDefault="008815EE">
            <w:pPr>
              <w:rPr>
                <w:rFonts w:ascii="Arial" w:hAnsi="Arial" w:cs="Arial"/>
              </w:rPr>
            </w:pPr>
            <w:r w:rsidRPr="00A01033">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FF3E15C" w:rsidR="00A174CC" w:rsidRPr="00A01033" w:rsidRDefault="00A2078E">
            <w:pPr>
              <w:rPr>
                <w:rFonts w:ascii="Arial" w:hAnsi="Arial" w:cs="Arial"/>
                <w:sz w:val="22"/>
                <w:szCs w:val="22"/>
              </w:rPr>
            </w:pPr>
            <w:r w:rsidRPr="00A01033">
              <w:rPr>
                <w:rFonts w:ascii="Arial" w:hAnsi="Arial" w:cs="Arial"/>
                <w:sz w:val="22"/>
                <w:szCs w:val="22"/>
              </w:rPr>
              <w:t>N</w:t>
            </w:r>
          </w:p>
        </w:tc>
      </w:tr>
    </w:tbl>
    <w:p w14:paraId="584EDBF6" w14:textId="77777777" w:rsidR="00A174CC" w:rsidRPr="00A01033"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rsidRPr="00A01033" w14:paraId="69A0FA8F" w14:textId="77777777">
        <w:tc>
          <w:tcPr>
            <w:tcW w:w="2692" w:type="dxa"/>
            <w:shd w:val="clear" w:color="auto" w:fill="auto"/>
          </w:tcPr>
          <w:p w14:paraId="64594F0C" w14:textId="77777777" w:rsidR="00A174CC" w:rsidRPr="00A01033" w:rsidRDefault="008815EE">
            <w:pPr>
              <w:rPr>
                <w:rFonts w:ascii="Arial" w:hAnsi="Arial" w:cs="Arial"/>
                <w:b/>
                <w:bCs/>
                <w:color w:val="000000"/>
                <w:sz w:val="22"/>
                <w:szCs w:val="22"/>
              </w:rPr>
            </w:pPr>
            <w:r w:rsidRPr="00A01033">
              <w:rPr>
                <w:rFonts w:ascii="Arial" w:hAnsi="Arial" w:cs="Arial"/>
                <w:b/>
                <w:bCs/>
                <w:color w:val="000000"/>
                <w:sz w:val="22"/>
                <w:szCs w:val="22"/>
              </w:rPr>
              <w:t>Taxon name</w:t>
            </w:r>
          </w:p>
        </w:tc>
        <w:tc>
          <w:tcPr>
            <w:tcW w:w="3403" w:type="dxa"/>
            <w:shd w:val="clear" w:color="auto" w:fill="auto"/>
          </w:tcPr>
          <w:p w14:paraId="513A61AA" w14:textId="77777777" w:rsidR="00A174CC" w:rsidRPr="00A01033" w:rsidRDefault="008815EE">
            <w:pPr>
              <w:rPr>
                <w:rFonts w:ascii="Arial" w:hAnsi="Arial" w:cs="Arial"/>
              </w:rPr>
            </w:pPr>
            <w:r w:rsidRPr="00A01033">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Pr="00A01033" w:rsidRDefault="008815EE">
            <w:pPr>
              <w:rPr>
                <w:rFonts w:ascii="Arial" w:hAnsi="Arial" w:cs="Arial"/>
              </w:rPr>
            </w:pPr>
            <w:r w:rsidRPr="00A01033">
              <w:rPr>
                <w:rFonts w:ascii="Arial" w:hAnsi="Arial" w:cs="Arial"/>
                <w:b/>
                <w:bCs/>
                <w:color w:val="000000"/>
                <w:sz w:val="22"/>
                <w:szCs w:val="22"/>
              </w:rPr>
              <w:t>Permission attached (Y/N)</w:t>
            </w:r>
          </w:p>
        </w:tc>
      </w:tr>
      <w:tr w:rsidR="00A174CC" w:rsidRPr="00A01033" w14:paraId="52A6FFAE" w14:textId="77777777">
        <w:tc>
          <w:tcPr>
            <w:tcW w:w="2692" w:type="dxa"/>
            <w:shd w:val="clear" w:color="auto" w:fill="auto"/>
          </w:tcPr>
          <w:p w14:paraId="5FB93882" w14:textId="77777777" w:rsidR="00A174CC" w:rsidRPr="00A01033" w:rsidRDefault="00A174CC">
            <w:pPr>
              <w:rPr>
                <w:rFonts w:ascii="Arial" w:hAnsi="Arial" w:cs="Arial"/>
                <w:sz w:val="22"/>
                <w:szCs w:val="22"/>
              </w:rPr>
            </w:pPr>
          </w:p>
        </w:tc>
        <w:tc>
          <w:tcPr>
            <w:tcW w:w="3403" w:type="dxa"/>
            <w:shd w:val="clear" w:color="auto" w:fill="auto"/>
          </w:tcPr>
          <w:p w14:paraId="5FB9B708" w14:textId="77777777" w:rsidR="00A174CC" w:rsidRPr="00A01033" w:rsidRDefault="00A174CC">
            <w:pPr>
              <w:rPr>
                <w:rFonts w:ascii="Arial" w:hAnsi="Arial" w:cs="Arial"/>
                <w:sz w:val="22"/>
                <w:szCs w:val="22"/>
              </w:rPr>
            </w:pPr>
          </w:p>
        </w:tc>
        <w:tc>
          <w:tcPr>
            <w:tcW w:w="2977" w:type="dxa"/>
            <w:shd w:val="clear" w:color="auto" w:fill="auto"/>
          </w:tcPr>
          <w:p w14:paraId="72AF85A5" w14:textId="77777777" w:rsidR="00A174CC" w:rsidRPr="00A01033" w:rsidRDefault="00A174CC">
            <w:pPr>
              <w:rPr>
                <w:rFonts w:ascii="Arial" w:hAnsi="Arial" w:cs="Arial"/>
                <w:sz w:val="22"/>
                <w:szCs w:val="22"/>
              </w:rPr>
            </w:pPr>
          </w:p>
        </w:tc>
      </w:tr>
      <w:tr w:rsidR="00A174CC" w:rsidRPr="00A01033" w14:paraId="4FCDF398" w14:textId="77777777">
        <w:tc>
          <w:tcPr>
            <w:tcW w:w="2692" w:type="dxa"/>
            <w:shd w:val="clear" w:color="auto" w:fill="auto"/>
          </w:tcPr>
          <w:p w14:paraId="6BAB900C" w14:textId="77777777" w:rsidR="00A174CC" w:rsidRPr="00A01033" w:rsidRDefault="00A174CC">
            <w:pPr>
              <w:rPr>
                <w:rFonts w:ascii="Arial" w:hAnsi="Arial" w:cs="Arial"/>
                <w:sz w:val="22"/>
                <w:szCs w:val="22"/>
              </w:rPr>
            </w:pPr>
          </w:p>
        </w:tc>
        <w:tc>
          <w:tcPr>
            <w:tcW w:w="3403" w:type="dxa"/>
            <w:shd w:val="clear" w:color="auto" w:fill="auto"/>
          </w:tcPr>
          <w:p w14:paraId="2FC21465" w14:textId="77777777" w:rsidR="00A174CC" w:rsidRPr="00A01033" w:rsidRDefault="00A174CC">
            <w:pPr>
              <w:rPr>
                <w:rFonts w:ascii="Arial" w:hAnsi="Arial" w:cs="Arial"/>
                <w:sz w:val="22"/>
                <w:szCs w:val="22"/>
              </w:rPr>
            </w:pPr>
          </w:p>
        </w:tc>
        <w:tc>
          <w:tcPr>
            <w:tcW w:w="2977" w:type="dxa"/>
            <w:shd w:val="clear" w:color="auto" w:fill="auto"/>
          </w:tcPr>
          <w:p w14:paraId="4395403B" w14:textId="77777777" w:rsidR="00A174CC" w:rsidRPr="00A01033" w:rsidRDefault="00A174CC">
            <w:pPr>
              <w:rPr>
                <w:rFonts w:ascii="Arial" w:hAnsi="Arial" w:cs="Arial"/>
                <w:sz w:val="22"/>
                <w:szCs w:val="22"/>
              </w:rPr>
            </w:pPr>
          </w:p>
        </w:tc>
      </w:tr>
      <w:tr w:rsidR="00A174CC" w:rsidRPr="00A01033" w14:paraId="4CC38749" w14:textId="77777777">
        <w:tc>
          <w:tcPr>
            <w:tcW w:w="2692" w:type="dxa"/>
            <w:shd w:val="clear" w:color="auto" w:fill="auto"/>
          </w:tcPr>
          <w:p w14:paraId="2B06F818" w14:textId="77777777" w:rsidR="00A174CC" w:rsidRPr="00A01033" w:rsidRDefault="00A174CC">
            <w:pPr>
              <w:rPr>
                <w:rFonts w:ascii="Arial" w:hAnsi="Arial" w:cs="Arial"/>
                <w:sz w:val="22"/>
                <w:szCs w:val="22"/>
              </w:rPr>
            </w:pPr>
          </w:p>
        </w:tc>
        <w:tc>
          <w:tcPr>
            <w:tcW w:w="3403" w:type="dxa"/>
            <w:shd w:val="clear" w:color="auto" w:fill="auto"/>
          </w:tcPr>
          <w:p w14:paraId="45687D72" w14:textId="77777777" w:rsidR="00A174CC" w:rsidRPr="00A01033" w:rsidRDefault="00A174CC">
            <w:pPr>
              <w:rPr>
                <w:rFonts w:ascii="Arial" w:hAnsi="Arial" w:cs="Arial"/>
                <w:sz w:val="22"/>
                <w:szCs w:val="22"/>
              </w:rPr>
            </w:pPr>
          </w:p>
        </w:tc>
        <w:tc>
          <w:tcPr>
            <w:tcW w:w="2977" w:type="dxa"/>
            <w:shd w:val="clear" w:color="auto" w:fill="auto"/>
          </w:tcPr>
          <w:p w14:paraId="54A15841" w14:textId="77777777" w:rsidR="00A174CC" w:rsidRPr="00A01033" w:rsidRDefault="00A174CC">
            <w:pPr>
              <w:rPr>
                <w:rFonts w:ascii="Arial" w:hAnsi="Arial" w:cs="Arial"/>
                <w:sz w:val="22"/>
                <w:szCs w:val="22"/>
              </w:rPr>
            </w:pPr>
          </w:p>
        </w:tc>
      </w:tr>
    </w:tbl>
    <w:p w14:paraId="0429D4EA" w14:textId="77777777" w:rsidR="00A174CC" w:rsidRPr="00A01033" w:rsidRDefault="00A174CC">
      <w:pPr>
        <w:rPr>
          <w:rFonts w:ascii="Arial" w:hAnsi="Arial" w:cs="Arial"/>
        </w:rPr>
      </w:pPr>
    </w:p>
    <w:p w14:paraId="53D9BCDE" w14:textId="77777777" w:rsidR="00A174CC" w:rsidRPr="00A01033" w:rsidRDefault="008815EE">
      <w:pPr>
        <w:rPr>
          <w:rFonts w:ascii="Arial" w:hAnsi="Arial" w:cs="Arial"/>
          <w:b/>
          <w:bCs/>
        </w:rPr>
      </w:pPr>
      <w:r w:rsidRPr="00A01033">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rsidRPr="00A01033" w14:paraId="2D0E7698" w14:textId="77777777">
        <w:tc>
          <w:tcPr>
            <w:tcW w:w="4819" w:type="dxa"/>
            <w:shd w:val="clear" w:color="auto" w:fill="auto"/>
          </w:tcPr>
          <w:p w14:paraId="632F82C3" w14:textId="77777777" w:rsidR="00A174CC" w:rsidRPr="00A01033" w:rsidRDefault="008815EE">
            <w:pPr>
              <w:rPr>
                <w:rFonts w:ascii="Arial" w:hAnsi="Arial" w:cs="Arial"/>
                <w:sz w:val="22"/>
                <w:szCs w:val="22"/>
              </w:rPr>
            </w:pPr>
            <w:r w:rsidRPr="00A01033">
              <w:rPr>
                <w:rFonts w:ascii="Arial" w:hAnsi="Arial" w:cs="Arial"/>
                <w:sz w:val="22"/>
                <w:szCs w:val="22"/>
              </w:rPr>
              <w:t>Date first submitted to SC Chair</w:t>
            </w:r>
          </w:p>
        </w:tc>
        <w:tc>
          <w:tcPr>
            <w:tcW w:w="4252" w:type="dxa"/>
            <w:shd w:val="clear" w:color="auto" w:fill="auto"/>
          </w:tcPr>
          <w:p w14:paraId="30B8652F" w14:textId="7EBD0A51" w:rsidR="00A174CC" w:rsidRPr="00A01033" w:rsidRDefault="00556927">
            <w:pPr>
              <w:rPr>
                <w:rFonts w:ascii="Arial" w:hAnsi="Arial" w:cs="Arial"/>
                <w:sz w:val="22"/>
                <w:szCs w:val="22"/>
              </w:rPr>
            </w:pPr>
            <w:r>
              <w:rPr>
                <w:rFonts w:ascii="Arial" w:hAnsi="Arial" w:cs="Arial"/>
                <w:sz w:val="22"/>
                <w:szCs w:val="22"/>
              </w:rPr>
              <w:t>April 2022</w:t>
            </w:r>
          </w:p>
        </w:tc>
      </w:tr>
      <w:tr w:rsidR="00A174CC" w:rsidRPr="00A01033" w14:paraId="41D8046A" w14:textId="77777777">
        <w:tc>
          <w:tcPr>
            <w:tcW w:w="4819" w:type="dxa"/>
            <w:shd w:val="clear" w:color="auto" w:fill="auto"/>
          </w:tcPr>
          <w:p w14:paraId="1EE879BD" w14:textId="77777777" w:rsidR="00A174CC" w:rsidRPr="00A01033" w:rsidRDefault="008815EE">
            <w:pPr>
              <w:rPr>
                <w:rFonts w:ascii="Arial" w:hAnsi="Arial" w:cs="Arial"/>
                <w:sz w:val="22"/>
                <w:szCs w:val="22"/>
              </w:rPr>
            </w:pPr>
            <w:r w:rsidRPr="00A01033">
              <w:rPr>
                <w:rFonts w:ascii="Arial" w:hAnsi="Arial" w:cs="Arial"/>
                <w:sz w:val="22"/>
                <w:szCs w:val="22"/>
              </w:rPr>
              <w:t>Date of this revision (if different to above)</w:t>
            </w:r>
          </w:p>
        </w:tc>
        <w:tc>
          <w:tcPr>
            <w:tcW w:w="4252" w:type="dxa"/>
            <w:shd w:val="clear" w:color="auto" w:fill="auto"/>
          </w:tcPr>
          <w:p w14:paraId="57931D4D" w14:textId="77777777" w:rsidR="00A174CC" w:rsidRPr="00A01033" w:rsidRDefault="00A174CC">
            <w:pPr>
              <w:rPr>
                <w:rFonts w:ascii="Arial" w:hAnsi="Arial" w:cs="Arial"/>
                <w:sz w:val="22"/>
                <w:szCs w:val="22"/>
              </w:rPr>
            </w:pPr>
          </w:p>
        </w:tc>
      </w:tr>
    </w:tbl>
    <w:p w14:paraId="172E3080" w14:textId="77777777" w:rsidR="00A174CC" w:rsidRPr="00A01033" w:rsidRDefault="008815EE">
      <w:pPr>
        <w:spacing w:before="120" w:after="120"/>
        <w:rPr>
          <w:rFonts w:ascii="Arial" w:hAnsi="Arial" w:cs="Arial"/>
          <w:b/>
        </w:rPr>
      </w:pPr>
      <w:r w:rsidRPr="00A01033">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A01033" w14:paraId="0F67D906" w14:textId="77777777">
        <w:tc>
          <w:tcPr>
            <w:tcW w:w="9072" w:type="dxa"/>
            <w:shd w:val="clear" w:color="auto" w:fill="auto"/>
          </w:tcPr>
          <w:p w14:paraId="3F5F4519" w14:textId="77777777" w:rsidR="00A174CC" w:rsidRPr="00A01033" w:rsidRDefault="00A174CC">
            <w:pPr>
              <w:rPr>
                <w:rFonts w:ascii="Arial" w:hAnsi="Arial" w:cs="Arial"/>
                <w:sz w:val="22"/>
                <w:szCs w:val="22"/>
              </w:rPr>
            </w:pPr>
          </w:p>
          <w:p w14:paraId="44EA9949" w14:textId="77777777" w:rsidR="00A174CC" w:rsidRPr="00A01033" w:rsidRDefault="00A174CC">
            <w:pPr>
              <w:rPr>
                <w:rFonts w:ascii="Arial" w:hAnsi="Arial" w:cs="Arial"/>
                <w:sz w:val="22"/>
                <w:szCs w:val="22"/>
              </w:rPr>
            </w:pPr>
          </w:p>
          <w:p w14:paraId="7707711D" w14:textId="77777777" w:rsidR="00A174CC" w:rsidRPr="00A01033" w:rsidRDefault="00A174CC">
            <w:pPr>
              <w:rPr>
                <w:rFonts w:ascii="Arial" w:hAnsi="Arial" w:cs="Arial"/>
                <w:sz w:val="22"/>
                <w:szCs w:val="22"/>
              </w:rPr>
            </w:pPr>
          </w:p>
          <w:p w14:paraId="624F1866" w14:textId="77777777" w:rsidR="00A174CC" w:rsidRPr="00A01033" w:rsidRDefault="00A174CC">
            <w:pPr>
              <w:rPr>
                <w:rFonts w:ascii="Arial" w:hAnsi="Arial" w:cs="Arial"/>
                <w:sz w:val="22"/>
                <w:szCs w:val="22"/>
              </w:rPr>
            </w:pPr>
          </w:p>
        </w:tc>
      </w:tr>
    </w:tbl>
    <w:p w14:paraId="1DFD7819" w14:textId="77777777" w:rsidR="00A174CC" w:rsidRPr="00A01033" w:rsidRDefault="00A174CC">
      <w:pPr>
        <w:pStyle w:val="BodyTextIndent"/>
        <w:spacing w:before="120" w:after="120"/>
        <w:ind w:left="0" w:firstLine="0"/>
        <w:rPr>
          <w:rFonts w:ascii="Arial" w:hAnsi="Arial" w:cs="Arial"/>
          <w:b/>
          <w:color w:val="000000"/>
          <w:szCs w:val="24"/>
        </w:rPr>
      </w:pPr>
    </w:p>
    <w:p w14:paraId="1FF52469" w14:textId="77777777" w:rsidR="00A174CC" w:rsidRPr="00A01033" w:rsidRDefault="008815EE">
      <w:pPr>
        <w:pStyle w:val="BodyTextIndent"/>
        <w:spacing w:before="120" w:after="120"/>
        <w:ind w:left="0" w:firstLine="0"/>
        <w:rPr>
          <w:rFonts w:ascii="Arial" w:hAnsi="Arial" w:cs="Arial"/>
          <w:color w:val="000000"/>
          <w:sz w:val="20"/>
        </w:rPr>
      </w:pPr>
      <w:r w:rsidRPr="00A01033">
        <w:rPr>
          <w:rFonts w:ascii="Arial" w:hAnsi="Arial" w:cs="Arial"/>
          <w:b/>
          <w:color w:val="000000"/>
          <w:szCs w:val="24"/>
        </w:rPr>
        <w:t>Part 2:</w:t>
      </w:r>
      <w:r w:rsidRPr="00A01033">
        <w:rPr>
          <w:rFonts w:ascii="Arial" w:hAnsi="Arial" w:cs="Arial"/>
          <w:color w:val="000000"/>
          <w:sz w:val="22"/>
          <w:szCs w:val="22"/>
        </w:rPr>
        <w:t xml:space="preserve"> </w:t>
      </w:r>
      <w:r w:rsidRPr="00A01033">
        <w:rPr>
          <w:rFonts w:ascii="Arial" w:hAnsi="Arial" w:cs="Arial"/>
          <w:b/>
          <w:color w:val="000000"/>
          <w:sz w:val="22"/>
          <w:szCs w:val="22"/>
          <w:u w:val="single"/>
        </w:rPr>
        <w:t>NON-TAXONOMIC PROPOSAL</w:t>
      </w:r>
    </w:p>
    <w:p w14:paraId="1E9B1E6F" w14:textId="77777777" w:rsidR="00A174CC" w:rsidRPr="00A01033" w:rsidRDefault="008815EE">
      <w:pPr>
        <w:pStyle w:val="BodyTextIndent"/>
        <w:spacing w:before="120" w:after="120"/>
        <w:ind w:left="0" w:firstLine="0"/>
        <w:rPr>
          <w:rFonts w:ascii="Arial" w:hAnsi="Arial" w:cs="Arial"/>
          <w:b/>
        </w:rPr>
      </w:pPr>
      <w:r w:rsidRPr="00A01033">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rsidRPr="00A01033" w14:paraId="1009744B" w14:textId="77777777" w:rsidTr="008A19FA">
        <w:trPr>
          <w:trHeight w:val="622"/>
        </w:trPr>
        <w:tc>
          <w:tcPr>
            <w:tcW w:w="9072" w:type="dxa"/>
            <w:shd w:val="clear" w:color="auto" w:fill="auto"/>
          </w:tcPr>
          <w:p w14:paraId="6EB42557" w14:textId="77777777" w:rsidR="00A174CC" w:rsidRPr="00A01033" w:rsidRDefault="00A174CC">
            <w:pPr>
              <w:pStyle w:val="BodyTextIndent"/>
              <w:ind w:left="0" w:firstLine="0"/>
              <w:rPr>
                <w:rFonts w:ascii="Arial" w:hAnsi="Arial" w:cs="Arial"/>
                <w:color w:val="0000FF"/>
                <w:sz w:val="22"/>
                <w:szCs w:val="22"/>
              </w:rPr>
            </w:pPr>
          </w:p>
        </w:tc>
      </w:tr>
    </w:tbl>
    <w:p w14:paraId="1E73CFEA" w14:textId="77777777" w:rsidR="00A174CC" w:rsidRPr="00A01033" w:rsidRDefault="008815EE">
      <w:pPr>
        <w:rPr>
          <w:rFonts w:ascii="Arial" w:hAnsi="Arial" w:cs="Arial"/>
        </w:rPr>
      </w:pPr>
      <w:r w:rsidRPr="00A01033">
        <w:rPr>
          <w:rFonts w:ascii="Arial" w:hAnsi="Arial" w:cs="Arial"/>
        </w:rPr>
        <w:br w:type="page"/>
      </w:r>
    </w:p>
    <w:p w14:paraId="5BFC1800" w14:textId="77777777" w:rsidR="00A174CC" w:rsidRPr="00A01033" w:rsidRDefault="008815EE">
      <w:pPr>
        <w:pStyle w:val="BodyTextIndent"/>
        <w:spacing w:before="120" w:after="120"/>
        <w:ind w:left="0" w:firstLine="0"/>
        <w:rPr>
          <w:rFonts w:ascii="Arial" w:hAnsi="Arial" w:cs="Arial"/>
          <w:color w:val="000000"/>
          <w:sz w:val="22"/>
          <w:szCs w:val="22"/>
        </w:rPr>
      </w:pPr>
      <w:r w:rsidRPr="00A01033">
        <w:rPr>
          <w:rFonts w:ascii="Arial" w:hAnsi="Arial" w:cs="Arial"/>
          <w:b/>
          <w:color w:val="000000"/>
          <w:szCs w:val="24"/>
        </w:rPr>
        <w:lastRenderedPageBreak/>
        <w:t>Part 3</w:t>
      </w:r>
      <w:r w:rsidRPr="00A01033">
        <w:rPr>
          <w:rFonts w:ascii="Arial" w:hAnsi="Arial" w:cs="Arial"/>
          <w:b/>
          <w:color w:val="000000"/>
          <w:sz w:val="22"/>
          <w:szCs w:val="22"/>
        </w:rPr>
        <w:t>:</w:t>
      </w:r>
      <w:r w:rsidRPr="00A01033">
        <w:rPr>
          <w:rFonts w:ascii="Arial" w:hAnsi="Arial" w:cs="Arial"/>
          <w:color w:val="000000"/>
          <w:sz w:val="22"/>
          <w:szCs w:val="22"/>
        </w:rPr>
        <w:t xml:space="preserve"> </w:t>
      </w:r>
      <w:r w:rsidRPr="00A01033">
        <w:rPr>
          <w:rFonts w:ascii="Arial" w:hAnsi="Arial" w:cs="Arial"/>
          <w:b/>
          <w:color w:val="000000"/>
          <w:sz w:val="22"/>
          <w:szCs w:val="22"/>
          <w:u w:val="single"/>
        </w:rPr>
        <w:t>TAXONOMIC PROPOSAL</w:t>
      </w:r>
    </w:p>
    <w:p w14:paraId="1943EDC9" w14:textId="77777777" w:rsidR="00A174CC" w:rsidRPr="00A01033" w:rsidRDefault="008815EE">
      <w:pPr>
        <w:spacing w:before="120" w:after="120"/>
        <w:rPr>
          <w:rFonts w:ascii="Arial" w:hAnsi="Arial" w:cs="Arial"/>
          <w:b/>
        </w:rPr>
      </w:pPr>
      <w:r w:rsidRPr="00A01033">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A01033" w14:paraId="23CC3CF3" w14:textId="77777777">
        <w:tc>
          <w:tcPr>
            <w:tcW w:w="9072" w:type="dxa"/>
            <w:shd w:val="clear" w:color="auto" w:fill="auto"/>
          </w:tcPr>
          <w:p w14:paraId="5E05E919" w14:textId="54310EE3" w:rsidR="00A174CC" w:rsidRPr="00A01033" w:rsidRDefault="00571FFA">
            <w:pPr>
              <w:spacing w:before="120" w:after="120"/>
              <w:rPr>
                <w:rFonts w:ascii="Arial" w:hAnsi="Arial" w:cs="Arial"/>
                <w:bCs/>
                <w:sz w:val="22"/>
                <w:szCs w:val="22"/>
              </w:rPr>
            </w:pPr>
            <w:r w:rsidRPr="00571FFA">
              <w:rPr>
                <w:rFonts w:ascii="Arial" w:hAnsi="Arial" w:cs="Arial"/>
                <w:bCs/>
                <w:sz w:val="22"/>
                <w:szCs w:val="22"/>
              </w:rPr>
              <w:t>2022.049B.N.v1.Menderavirus_1nsp</w:t>
            </w:r>
            <w:r w:rsidR="00396810" w:rsidRPr="00A01033">
              <w:rPr>
                <w:rFonts w:ascii="Arial" w:hAnsi="Arial" w:cs="Arial"/>
                <w:bCs/>
                <w:sz w:val="22"/>
                <w:szCs w:val="22"/>
              </w:rPr>
              <w:t>.xlsx</w:t>
            </w:r>
          </w:p>
        </w:tc>
      </w:tr>
    </w:tbl>
    <w:p w14:paraId="6D4AFA16" w14:textId="77777777" w:rsidR="00A174CC" w:rsidRPr="00A01033" w:rsidRDefault="008815EE">
      <w:pPr>
        <w:spacing w:before="120" w:after="120"/>
        <w:rPr>
          <w:rFonts w:ascii="Arial" w:hAnsi="Arial" w:cs="Arial"/>
          <w:color w:val="0000FF"/>
          <w:sz w:val="20"/>
        </w:rPr>
      </w:pPr>
      <w:r w:rsidRPr="00A01033">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rsidRPr="00A01033" w14:paraId="09FD91A4" w14:textId="77777777">
        <w:tc>
          <w:tcPr>
            <w:tcW w:w="9072" w:type="dxa"/>
            <w:shd w:val="clear" w:color="auto" w:fill="auto"/>
          </w:tcPr>
          <w:p w14:paraId="54241293" w14:textId="33886DE7" w:rsidR="00A174CC" w:rsidRPr="00A01033" w:rsidRDefault="008E3532" w:rsidP="008E3532">
            <w:pPr>
              <w:rPr>
                <w:rFonts w:ascii="Arial" w:hAnsi="Arial" w:cs="Arial"/>
                <w:bCs/>
                <w:sz w:val="22"/>
                <w:szCs w:val="22"/>
              </w:rPr>
            </w:pPr>
            <w:r w:rsidRPr="00A01033">
              <w:rPr>
                <w:rFonts w:ascii="Arial" w:hAnsi="Arial" w:cs="Arial"/>
                <w:bCs/>
                <w:sz w:val="22"/>
                <w:szCs w:val="22"/>
              </w:rPr>
              <w:t xml:space="preserve">There are currently three defined species in the genus </w:t>
            </w:r>
            <w:r w:rsidRPr="00A01033">
              <w:rPr>
                <w:rFonts w:ascii="Arial" w:hAnsi="Arial" w:cs="Arial"/>
                <w:bCs/>
                <w:i/>
                <w:iCs/>
                <w:sz w:val="22"/>
                <w:szCs w:val="22"/>
              </w:rPr>
              <w:t>Menderavirus</w:t>
            </w:r>
            <w:r w:rsidRPr="00A01033">
              <w:rPr>
                <w:rFonts w:ascii="Arial" w:hAnsi="Arial" w:cs="Arial"/>
                <w:bCs/>
                <w:sz w:val="22"/>
                <w:szCs w:val="22"/>
              </w:rPr>
              <w:t xml:space="preserve">. </w:t>
            </w:r>
            <w:r w:rsidR="000170B2" w:rsidRPr="00A01033">
              <w:rPr>
                <w:rFonts w:ascii="Arial" w:hAnsi="Arial" w:cs="Arial"/>
                <w:bCs/>
                <w:sz w:val="22"/>
                <w:szCs w:val="22"/>
              </w:rPr>
              <w:t>Here w</w:t>
            </w:r>
            <w:r w:rsidRPr="00A01033">
              <w:rPr>
                <w:rFonts w:ascii="Arial" w:hAnsi="Arial" w:cs="Arial"/>
                <w:bCs/>
                <w:sz w:val="22"/>
                <w:szCs w:val="22"/>
              </w:rPr>
              <w:t>e propose</w:t>
            </w:r>
            <w:r w:rsidR="000170B2" w:rsidRPr="00A01033">
              <w:rPr>
                <w:rFonts w:ascii="Arial" w:hAnsi="Arial" w:cs="Arial"/>
                <w:bCs/>
                <w:sz w:val="22"/>
                <w:szCs w:val="22"/>
              </w:rPr>
              <w:t xml:space="preserve"> a fourth species.</w:t>
            </w:r>
          </w:p>
          <w:p w14:paraId="2AB201D8" w14:textId="77777777" w:rsidR="00A174CC" w:rsidRPr="00A01033" w:rsidRDefault="00A174CC">
            <w:pPr>
              <w:rPr>
                <w:rFonts w:ascii="Arial" w:hAnsi="Arial" w:cs="Arial"/>
                <w:bCs/>
                <w:sz w:val="22"/>
                <w:szCs w:val="22"/>
              </w:rPr>
            </w:pPr>
          </w:p>
        </w:tc>
      </w:tr>
    </w:tbl>
    <w:p w14:paraId="5FC8EFB5" w14:textId="77777777" w:rsidR="00A174CC" w:rsidRPr="00A01033" w:rsidRDefault="008815EE">
      <w:pPr>
        <w:pStyle w:val="BodyTextIndent"/>
        <w:spacing w:before="120" w:after="120"/>
        <w:ind w:left="0" w:firstLine="0"/>
        <w:rPr>
          <w:rFonts w:ascii="Arial" w:hAnsi="Arial" w:cs="Arial"/>
          <w:b/>
          <w:szCs w:val="24"/>
        </w:rPr>
      </w:pPr>
      <w:r w:rsidRPr="00A01033">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A01033" w14:paraId="15A4B8D2" w14:textId="77777777" w:rsidTr="008A302B">
        <w:trPr>
          <w:trHeight w:val="993"/>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rsidRPr="00A01033" w14:paraId="195FC3CF" w14:textId="77777777">
              <w:tc>
                <w:tcPr>
                  <w:tcW w:w="9002" w:type="dxa"/>
                  <w:shd w:val="clear" w:color="auto" w:fill="auto"/>
                </w:tcPr>
                <w:p w14:paraId="65917C70" w14:textId="0524D0D0" w:rsidR="00A174CC" w:rsidRPr="00A01033" w:rsidRDefault="00E31158" w:rsidP="00E31158">
                  <w:pPr>
                    <w:rPr>
                      <w:rFonts w:ascii="Arial" w:hAnsi="Arial" w:cs="Arial"/>
                      <w:sz w:val="22"/>
                      <w:szCs w:val="22"/>
                    </w:rPr>
                  </w:pPr>
                  <w:r>
                    <w:rPr>
                      <w:rFonts w:ascii="Arial" w:hAnsi="Arial" w:cs="Arial"/>
                      <w:sz w:val="22"/>
                      <w:szCs w:val="22"/>
                    </w:rPr>
                    <w:t xml:space="preserve">A </w:t>
                  </w:r>
                  <w:r w:rsidRPr="00E31158">
                    <w:rPr>
                      <w:rFonts w:ascii="Arial" w:hAnsi="Arial" w:cs="Arial"/>
                      <w:sz w:val="22"/>
                      <w:szCs w:val="22"/>
                    </w:rPr>
                    <w:t xml:space="preserve">95% DNA sequence identity </w:t>
                  </w:r>
                  <w:r>
                    <w:rPr>
                      <w:rFonts w:ascii="Arial" w:hAnsi="Arial" w:cs="Arial"/>
                      <w:sz w:val="22"/>
                      <w:szCs w:val="22"/>
                    </w:rPr>
                    <w:t xml:space="preserve">was chosen </w:t>
                  </w:r>
                  <w:r w:rsidRPr="00E31158">
                    <w:rPr>
                      <w:rFonts w:ascii="Arial" w:hAnsi="Arial" w:cs="Arial"/>
                      <w:sz w:val="22"/>
                      <w:szCs w:val="22"/>
                    </w:rPr>
                    <w:t>as the criterion for demarcation of species in this genus</w:t>
                  </w:r>
                  <w:r>
                    <w:rPr>
                      <w:rFonts w:ascii="Arial" w:hAnsi="Arial" w:cs="Arial"/>
                      <w:sz w:val="22"/>
                      <w:szCs w:val="22"/>
                    </w:rPr>
                    <w:t xml:space="preserve"> </w:t>
                  </w:r>
                  <w:r w:rsidRPr="00E31158">
                    <w:rPr>
                      <w:rFonts w:ascii="Arial" w:hAnsi="Arial" w:cs="Arial"/>
                      <w:i/>
                      <w:iCs/>
                      <w:sz w:val="22"/>
                      <w:szCs w:val="22"/>
                    </w:rPr>
                    <w:t>Menderavirus</w:t>
                  </w:r>
                  <w:r w:rsidRPr="00E31158">
                    <w:rPr>
                      <w:rFonts w:ascii="Arial" w:hAnsi="Arial" w:cs="Arial"/>
                      <w:sz w:val="22"/>
                      <w:szCs w:val="22"/>
                    </w:rPr>
                    <w:t xml:space="preserve">. </w:t>
                  </w:r>
                  <w:r>
                    <w:rPr>
                      <w:rFonts w:ascii="Arial" w:hAnsi="Arial" w:cs="Arial"/>
                      <w:sz w:val="22"/>
                      <w:szCs w:val="22"/>
                    </w:rPr>
                    <w:t>T</w:t>
                  </w:r>
                  <w:r w:rsidRPr="00E31158">
                    <w:rPr>
                      <w:rFonts w:ascii="Arial" w:hAnsi="Arial" w:cs="Arial"/>
                      <w:sz w:val="22"/>
                      <w:szCs w:val="22"/>
                    </w:rPr>
                    <w:t xml:space="preserve">he proposed species differs from the others with more than 5% at the DNA level as confirmed with </w:t>
                  </w:r>
                  <w:r>
                    <w:rPr>
                      <w:rFonts w:ascii="Arial" w:hAnsi="Arial" w:cs="Arial"/>
                      <w:sz w:val="22"/>
                      <w:szCs w:val="22"/>
                    </w:rPr>
                    <w:t>VIRIDIC.</w:t>
                  </w:r>
                </w:p>
              </w:tc>
            </w:tr>
          </w:tbl>
          <w:p w14:paraId="09E79DFD" w14:textId="77777777" w:rsidR="00A174CC" w:rsidRPr="00A01033" w:rsidRDefault="00A174CC">
            <w:pPr>
              <w:rPr>
                <w:rFonts w:ascii="Arial" w:hAnsi="Arial" w:cs="Arial"/>
                <w:color w:val="0000FF"/>
                <w:sz w:val="20"/>
              </w:rPr>
            </w:pPr>
          </w:p>
        </w:tc>
      </w:tr>
    </w:tbl>
    <w:p w14:paraId="6B5315D2" w14:textId="77777777" w:rsidR="00A174CC" w:rsidRPr="00A01033" w:rsidRDefault="008815EE">
      <w:pPr>
        <w:pStyle w:val="BodyTextIndent"/>
        <w:spacing w:before="120" w:after="120"/>
        <w:ind w:left="0" w:firstLine="0"/>
        <w:rPr>
          <w:rFonts w:ascii="Arial" w:hAnsi="Arial" w:cs="Arial"/>
          <w:b/>
          <w:color w:val="000000"/>
          <w:szCs w:val="24"/>
        </w:rPr>
      </w:pPr>
      <w:r w:rsidRPr="00A01033">
        <w:rPr>
          <w:rFonts w:ascii="Arial" w:hAnsi="Arial" w:cs="Arial"/>
          <w:b/>
          <w:color w:val="000000"/>
          <w:szCs w:val="24"/>
        </w:rPr>
        <w:t>Supporting evidence</w:t>
      </w:r>
    </w:p>
    <w:p w14:paraId="574FE57D" w14:textId="039FAF0C" w:rsidR="00A174CC" w:rsidRPr="00A01033" w:rsidRDefault="00A174CC">
      <w:pPr>
        <w:rPr>
          <w:rFonts w:ascii="Arial" w:hAnsi="Arial" w:cs="Arial"/>
          <w:b/>
          <w:sz w:val="22"/>
          <w:szCs w:val="22"/>
        </w:rPr>
      </w:pPr>
    </w:p>
    <w:p w14:paraId="200B1922" w14:textId="1F1124B7" w:rsidR="00580207" w:rsidRPr="00A01033" w:rsidRDefault="00580207">
      <w:pPr>
        <w:rPr>
          <w:rFonts w:ascii="Arial" w:hAnsi="Arial" w:cs="Arial"/>
          <w:bCs/>
          <w:sz w:val="22"/>
          <w:szCs w:val="22"/>
        </w:rPr>
      </w:pPr>
      <w:r w:rsidRPr="00A01033">
        <w:rPr>
          <w:rFonts w:ascii="Arial" w:hAnsi="Arial" w:cs="Arial"/>
          <w:b/>
          <w:sz w:val="22"/>
          <w:szCs w:val="22"/>
        </w:rPr>
        <w:t>Specific reference:</w:t>
      </w:r>
      <w:r w:rsidRPr="009944C7">
        <w:rPr>
          <w:rFonts w:ascii="Arial" w:hAnsi="Arial" w:cs="Arial"/>
          <w:bCs/>
          <w:sz w:val="22"/>
          <w:szCs w:val="22"/>
        </w:rPr>
        <w:t xml:space="preserve"> </w:t>
      </w:r>
      <w:r w:rsidR="009944C7" w:rsidRPr="009944C7">
        <w:rPr>
          <w:rFonts w:ascii="Arial" w:hAnsi="Arial" w:cs="Arial"/>
          <w:bCs/>
          <w:sz w:val="22"/>
          <w:szCs w:val="22"/>
        </w:rPr>
        <w:t xml:space="preserve">Damnjanović D, Vázquez-Campos X, Elliot L, </w:t>
      </w:r>
      <w:r w:rsidR="009944C7">
        <w:rPr>
          <w:rFonts w:ascii="Arial" w:hAnsi="Arial" w:cs="Arial"/>
          <w:bCs/>
          <w:sz w:val="22"/>
          <w:szCs w:val="22"/>
        </w:rPr>
        <w:t>Willcox M, Bridge WJ</w:t>
      </w:r>
      <w:r w:rsidR="009944C7" w:rsidRPr="009944C7">
        <w:rPr>
          <w:rFonts w:ascii="Arial" w:hAnsi="Arial" w:cs="Arial"/>
          <w:bCs/>
          <w:sz w:val="22"/>
          <w:szCs w:val="22"/>
        </w:rPr>
        <w:t xml:space="preserve"> (2022) Characterisation of bacteriophage vB_SmaM_Ps15 infective to </w:t>
      </w:r>
      <w:r w:rsidR="009944C7" w:rsidRPr="00223841">
        <w:rPr>
          <w:rFonts w:ascii="Arial" w:hAnsi="Arial" w:cs="Arial"/>
          <w:bCs/>
          <w:sz w:val="22"/>
          <w:szCs w:val="22"/>
        </w:rPr>
        <w:t>Stenotrophomonas maltophilia</w:t>
      </w:r>
      <w:r w:rsidR="009944C7" w:rsidRPr="009944C7">
        <w:rPr>
          <w:rFonts w:ascii="Arial" w:hAnsi="Arial" w:cs="Arial"/>
          <w:bCs/>
          <w:sz w:val="22"/>
          <w:szCs w:val="22"/>
        </w:rPr>
        <w:t xml:space="preserve"> clinical ocular isolates. Viruses 14:709. </w:t>
      </w:r>
      <w:r w:rsidRPr="00A01033">
        <w:rPr>
          <w:rFonts w:ascii="Arial" w:hAnsi="Arial" w:cs="Arial"/>
          <w:bCs/>
          <w:sz w:val="22"/>
          <w:szCs w:val="22"/>
        </w:rPr>
        <w:fldChar w:fldCharType="begin"/>
      </w:r>
      <w:r w:rsidR="009944C7">
        <w:rPr>
          <w:rFonts w:ascii="Arial" w:hAnsi="Arial" w:cs="Arial"/>
          <w:bCs/>
          <w:sz w:val="22"/>
          <w:szCs w:val="22"/>
        </w:rPr>
        <w:instrText xml:space="preserve"> ADDIN ZOTERO_ITEM CSL_CITATION {"citationID":"Sl2IdfUd","properties":{"formattedCitation":"[1]","plainCitation":"[1]","noteIndex":0},"citationItems":[{"id":13132,"uris":["http://zotero.org/users/152779/items/HQMX8Y95"],"itemData":{"id":13132,"type":"article-journal","abstract":"Recent acknowledgment that multidrug resistant Stenotrophomonas maltophilia strains can cause severe infections has led to increasing global interest in addressing its pathogenicity. While being primarily associated with hospital-acquired respiratory tract infections, this bacterial species is also relevant to ophthalmology, particularly to contact lens-related diseases. In the current study, the capacity of Stenotrophomonas phage vB_SmaM_Ps15 to infect ocular S. maltophilia strains was investigated to explore its future potential as a phage therapeutic. The phage proved to be lytic to a range of clinical isolates collected in Australia from eye swabs, contact lenses and contact lens cases that had previously shown to be resistant to several antibiotics and multipurpose contact lenses disinfectant solutions. Morphological analysis by transmission electron microscopy placed the phage into the Myoviridae family. Its genome size was 161,350 bp with a G + C content of 54.2%, containing 276 putative protein-encoding genes and 24 tRNAs. A detailed comparative genomic analysis positioned vB_SmaM_Ps15 as a new species of the Menderavirus genus, which currently contains six very similar globally distributed members. It was confirmed as a virulent phage, free of known lysogenic and pathogenicity determinants, which supports its potential use for the treatment of S. maltophilia eye infections.","container-title":"Viruses","DOI":"10.3390/v14040709","ISSN":"1999-4915","issue":"4","journalAbbreviation":"Viruses","language":"en","note":"tex.ids= damnjanovic_characterisation_2022-1\nnumber: 4\npublisher: Multidisciplinary Digital Publishing Institute","page":"709","source":"www.mdpi.com","title":"Characterisation of bacteriophage vB_SmaM_Ps15 infective to &lt;i&gt;Stenotrophomonas maltophilia&lt;/i&gt; clinical ocular isolates","volume":"14","author":[{"family":"Damnjanović","given":"Dragica"},{"family":"Vázquez-Campos","given":"Xabier"},{"family":"Elliot","given":"Lisa"},{"family":"Willcox","given":"Mark"},{"family":"Bridge","given":"Wallace J."}],"issued":{"date-parts":[["2022"]]},"citation-key":"damnjanovic_characterisation_2022"}}],"schema":"https://github.com/citation-style-language/schema/raw/master/csl-citation.json"} </w:instrText>
      </w:r>
      <w:r w:rsidRPr="00A01033">
        <w:rPr>
          <w:rFonts w:ascii="Arial" w:hAnsi="Arial" w:cs="Arial"/>
          <w:bCs/>
          <w:sz w:val="22"/>
          <w:szCs w:val="22"/>
        </w:rPr>
        <w:fldChar w:fldCharType="separate"/>
      </w:r>
      <w:r w:rsidRPr="00A01033">
        <w:rPr>
          <w:rFonts w:ascii="Arial" w:hAnsi="Arial" w:cs="Arial"/>
          <w:sz w:val="22"/>
        </w:rPr>
        <w:t>[1]</w:t>
      </w:r>
      <w:r w:rsidRPr="00A01033">
        <w:rPr>
          <w:rFonts w:ascii="Arial" w:hAnsi="Arial" w:cs="Arial"/>
          <w:bCs/>
          <w:sz w:val="22"/>
          <w:szCs w:val="22"/>
        </w:rPr>
        <w:fldChar w:fldCharType="end"/>
      </w:r>
      <w:r w:rsidRPr="00A01033">
        <w:rPr>
          <w:rFonts w:ascii="Arial" w:hAnsi="Arial" w:cs="Arial"/>
          <w:bCs/>
          <w:sz w:val="22"/>
          <w:szCs w:val="22"/>
        </w:rPr>
        <w:t>.</w:t>
      </w:r>
    </w:p>
    <w:p w14:paraId="2F23CF3E" w14:textId="77777777" w:rsidR="00A174CC" w:rsidRPr="00A01033" w:rsidRDefault="00A174CC">
      <w:pPr>
        <w:rPr>
          <w:rFonts w:ascii="Arial" w:hAnsi="Arial" w:cs="Arial"/>
          <w:b/>
          <w:sz w:val="22"/>
          <w:szCs w:val="22"/>
        </w:rPr>
      </w:pPr>
    </w:p>
    <w:p w14:paraId="085F7709" w14:textId="775FEDF8" w:rsidR="00A174CC" w:rsidRPr="00223841" w:rsidRDefault="0089669F">
      <w:pPr>
        <w:rPr>
          <w:rFonts w:ascii="Arial" w:hAnsi="Arial" w:cs="Arial"/>
          <w:b/>
          <w:iCs/>
          <w:sz w:val="22"/>
          <w:szCs w:val="22"/>
        </w:rPr>
      </w:pPr>
      <w:r w:rsidRPr="00A01033">
        <w:rPr>
          <w:rFonts w:ascii="Arial" w:hAnsi="Arial" w:cs="Arial"/>
          <w:b/>
          <w:sz w:val="22"/>
          <w:szCs w:val="22"/>
        </w:rPr>
        <w:t>History:</w:t>
      </w:r>
      <w:r w:rsidR="008E0FDD" w:rsidRPr="00A01033">
        <w:rPr>
          <w:rFonts w:ascii="Arial" w:hAnsi="Arial" w:cs="Arial"/>
          <w:b/>
          <w:sz w:val="22"/>
          <w:szCs w:val="22"/>
        </w:rPr>
        <w:t xml:space="preserve"> </w:t>
      </w:r>
      <w:r w:rsidR="008E0FDD" w:rsidRPr="00A01033">
        <w:rPr>
          <w:rFonts w:ascii="Arial" w:hAnsi="Arial" w:cs="Arial"/>
          <w:sz w:val="22"/>
          <w:szCs w:val="22"/>
          <w:shd w:val="clear" w:color="auto" w:fill="FFFFFF"/>
          <w:lang w:val="en-GB"/>
        </w:rPr>
        <w:t xml:space="preserve">This phage was isolated from the Cleveland Bay Water Processing Plant in Townsville (Queensland, Australia), where the wastewater from public hospitals and most of Townsville city is processed. The phage was isolated and propagated on the </w:t>
      </w:r>
      <w:r w:rsidR="008E0FDD" w:rsidRPr="00223841">
        <w:rPr>
          <w:rFonts w:ascii="Arial" w:hAnsi="Arial" w:cs="Arial"/>
          <w:iCs/>
          <w:sz w:val="22"/>
          <w:szCs w:val="22"/>
          <w:shd w:val="clear" w:color="auto" w:fill="FFFFFF"/>
          <w:lang w:val="en-GB"/>
        </w:rPr>
        <w:t>Pseudomonas aeruginosa AP143 using standard phage isolation methods</w:t>
      </w:r>
      <w:r w:rsidR="00580207" w:rsidRPr="00223841">
        <w:rPr>
          <w:rFonts w:ascii="Arial" w:hAnsi="Arial" w:cs="Arial"/>
          <w:iCs/>
          <w:sz w:val="22"/>
          <w:szCs w:val="22"/>
          <w:shd w:val="clear" w:color="auto" w:fill="FFFFFF"/>
          <w:lang w:val="en-GB"/>
        </w:rPr>
        <w:t>, a culture later known to be a mix of Pseudomonas aeruginosa and Stenotrophomonas maltophilia.</w:t>
      </w:r>
      <w:r w:rsidR="003A67B8" w:rsidRPr="00223841">
        <w:rPr>
          <w:rFonts w:ascii="Arial" w:hAnsi="Arial" w:cs="Arial"/>
          <w:iCs/>
          <w:sz w:val="22"/>
          <w:szCs w:val="22"/>
          <w:shd w:val="clear" w:color="auto" w:fill="FFFFFF"/>
          <w:lang w:val="en-GB"/>
        </w:rPr>
        <w:t xml:space="preserve"> Stenotrophomonas maltophilia is the only known host.</w:t>
      </w:r>
    </w:p>
    <w:p w14:paraId="3D5CED27" w14:textId="6A20EC59" w:rsidR="0089669F" w:rsidRDefault="0089669F">
      <w:pPr>
        <w:rPr>
          <w:rFonts w:ascii="Arial" w:hAnsi="Arial" w:cs="Arial"/>
          <w:b/>
          <w:sz w:val="22"/>
          <w:szCs w:val="22"/>
        </w:rPr>
      </w:pPr>
    </w:p>
    <w:p w14:paraId="0C180BB8" w14:textId="11864F37" w:rsidR="003A3946" w:rsidRDefault="003A3946">
      <w:pPr>
        <w:rPr>
          <w:rFonts w:ascii="Arial" w:hAnsi="Arial" w:cs="Arial"/>
          <w:b/>
          <w:sz w:val="22"/>
          <w:szCs w:val="22"/>
        </w:rPr>
      </w:pPr>
    </w:p>
    <w:p w14:paraId="68999B63" w14:textId="5F35FDE6" w:rsidR="003A3946" w:rsidRPr="00A42136" w:rsidRDefault="003A3946">
      <w:pPr>
        <w:rPr>
          <w:rFonts w:ascii="Arial" w:hAnsi="Arial" w:cs="Arial"/>
          <w:bCs/>
          <w:sz w:val="22"/>
          <w:szCs w:val="22"/>
        </w:rPr>
      </w:pPr>
      <w:r>
        <w:rPr>
          <w:rFonts w:ascii="Arial" w:hAnsi="Arial" w:cs="Arial"/>
          <w:b/>
          <w:sz w:val="22"/>
          <w:szCs w:val="22"/>
        </w:rPr>
        <w:t>Genomic summary:</w:t>
      </w:r>
      <w:r w:rsidR="00A42136">
        <w:rPr>
          <w:rFonts w:ascii="Arial" w:hAnsi="Arial" w:cs="Arial"/>
          <w:bCs/>
          <w:sz w:val="22"/>
          <w:szCs w:val="22"/>
        </w:rPr>
        <w:t xml:space="preserve"> Comparisons between genomes were performed based on gene callings performed for this analysis in order to avoid biases due to different annotation methods </w:t>
      </w:r>
      <w:r w:rsidR="00A42136">
        <w:rPr>
          <w:rFonts w:ascii="Arial" w:hAnsi="Arial" w:cs="Arial"/>
          <w:bCs/>
          <w:sz w:val="22"/>
          <w:szCs w:val="22"/>
        </w:rPr>
        <w:fldChar w:fldCharType="begin"/>
      </w:r>
      <w:r w:rsidR="009944C7">
        <w:rPr>
          <w:rFonts w:ascii="Arial" w:hAnsi="Arial" w:cs="Arial"/>
          <w:bCs/>
          <w:sz w:val="22"/>
          <w:szCs w:val="22"/>
        </w:rPr>
        <w:instrText xml:space="preserve"> ADDIN ZOTERO_ITEM CSL_CITATION {"citationID":"oJhgK2IA","properties":{"formattedCitation":"[1]","plainCitation":"[1]","noteIndex":0},"citationItems":[{"id":13132,"uris":["http://zotero.org/users/152779/items/HQMX8Y95"],"itemData":{"id":13132,"type":"article-journal","abstract":"Recent acknowledgment that multidrug resistant Stenotrophomonas maltophilia strains can cause severe infections has led to increasing global interest in addressing its pathogenicity. While being primarily associated with hospital-acquired respiratory tract infections, this bacterial species is also relevant to ophthalmology, particularly to contact lens-related diseases. In the current study, the capacity of Stenotrophomonas phage vB_SmaM_Ps15 to infect ocular S. maltophilia strains was investigated to explore its future potential as a phage therapeutic. The phage proved to be lytic to a range of clinical isolates collected in Australia from eye swabs, contact lenses and contact lens cases that had previously shown to be resistant to several antibiotics and multipurpose contact lenses disinfectant solutions. Morphological analysis by transmission electron microscopy placed the phage into the Myoviridae family. Its genome size was 161,350 bp with a G + C content of 54.2%, containing 276 putative protein-encoding genes and 24 tRNAs. A detailed comparative genomic analysis positioned vB_SmaM_Ps15 as a new species of the Menderavirus genus, which currently contains six very similar globally distributed members. It was confirmed as a virulent phage, free of known lysogenic and pathogenicity determinants, which supports its potential use for the treatment of S. maltophilia eye infections.","container-title":"Viruses","DOI":"10.3390/v14040709","ISSN":"1999-4915","issue":"4","journalAbbreviation":"Viruses","language":"en","note":"tex.ids= damnjanovic_characterisation_2022-1\nnumber: 4\npublisher: Multidisciplinary Digital Publishing Institute","page":"709","source":"www.mdpi.com","title":"Characterisation of bacteriophage vB_SmaM_Ps15 infective to &lt;i&gt;Stenotrophomonas maltophilia&lt;/i&gt; clinical ocular isolates","volume":"14","author":[{"family":"Damnjanović","given":"Dragica"},{"family":"Vázquez-Campos","given":"Xabier"},{"family":"Elliot","given":"Lisa"},{"family":"Willcox","given":"Mark"},{"family":"Bridge","given":"Wallace J."}],"issued":{"date-parts":[["2022"]]},"citation-key":"damnjanovic_characterisation_2022"}}],"schema":"https://github.com/citation-style-language/schema/raw/master/csl-citation.json"} </w:instrText>
      </w:r>
      <w:r w:rsidR="00A42136">
        <w:rPr>
          <w:rFonts w:ascii="Arial" w:hAnsi="Arial" w:cs="Arial"/>
          <w:bCs/>
          <w:sz w:val="22"/>
          <w:szCs w:val="22"/>
        </w:rPr>
        <w:fldChar w:fldCharType="separate"/>
      </w:r>
      <w:r w:rsidR="00A42136" w:rsidRPr="00A42136">
        <w:rPr>
          <w:rFonts w:ascii="Arial" w:hAnsi="Arial" w:cs="Arial"/>
          <w:sz w:val="22"/>
        </w:rPr>
        <w:t>[1]</w:t>
      </w:r>
      <w:r w:rsidR="00A42136">
        <w:rPr>
          <w:rFonts w:ascii="Arial" w:hAnsi="Arial" w:cs="Arial"/>
          <w:bCs/>
          <w:sz w:val="22"/>
          <w:szCs w:val="22"/>
        </w:rPr>
        <w:fldChar w:fldCharType="end"/>
      </w:r>
      <w:r w:rsidR="00A42136">
        <w:rPr>
          <w:rFonts w:ascii="Arial" w:hAnsi="Arial" w:cs="Arial"/>
          <w:bCs/>
          <w:sz w:val="22"/>
          <w:szCs w:val="22"/>
        </w:rPr>
        <w:t>.</w:t>
      </w:r>
    </w:p>
    <w:p w14:paraId="5F2FABBB" w14:textId="636C370C" w:rsidR="003A3946" w:rsidRDefault="003A3946">
      <w:pPr>
        <w:rPr>
          <w:rFonts w:ascii="Arial" w:hAnsi="Arial" w:cs="Arial"/>
          <w:bCs/>
          <w:sz w:val="22"/>
          <w:szCs w:val="22"/>
        </w:rPr>
      </w:pPr>
    </w:p>
    <w:tbl>
      <w:tblPr>
        <w:tblW w:w="10887" w:type="dxa"/>
        <w:jc w:val="center"/>
        <w:tblBorders>
          <w:top w:val="single" w:sz="8" w:space="0" w:color="auto"/>
          <w:bottom w:val="single" w:sz="8" w:space="0" w:color="auto"/>
          <w:insideH w:val="single" w:sz="4" w:space="0" w:color="auto"/>
        </w:tblBorders>
        <w:tblLayout w:type="fixed"/>
        <w:tblCellMar>
          <w:left w:w="0" w:type="dxa"/>
          <w:right w:w="0" w:type="dxa"/>
        </w:tblCellMar>
        <w:tblLook w:val="04A0" w:firstRow="1" w:lastRow="0" w:firstColumn="1" w:lastColumn="0" w:noHBand="0" w:noVBand="1"/>
      </w:tblPr>
      <w:tblGrid>
        <w:gridCol w:w="1782"/>
        <w:gridCol w:w="1276"/>
        <w:gridCol w:w="1134"/>
        <w:gridCol w:w="567"/>
        <w:gridCol w:w="1134"/>
        <w:gridCol w:w="850"/>
        <w:gridCol w:w="2126"/>
        <w:gridCol w:w="993"/>
        <w:gridCol w:w="1025"/>
      </w:tblGrid>
      <w:tr w:rsidR="001A7FD4" w:rsidRPr="00056D5F" w14:paraId="3EBCED24" w14:textId="77777777" w:rsidTr="00995672">
        <w:trPr>
          <w:jc w:val="center"/>
        </w:trPr>
        <w:tc>
          <w:tcPr>
            <w:tcW w:w="1782" w:type="dxa"/>
            <w:tcBorders>
              <w:top w:val="single" w:sz="8" w:space="0" w:color="auto"/>
              <w:bottom w:val="single" w:sz="4" w:space="0" w:color="auto"/>
            </w:tcBorders>
            <w:shd w:val="clear" w:color="auto" w:fill="auto"/>
            <w:vAlign w:val="center"/>
          </w:tcPr>
          <w:p w14:paraId="1BB67B05" w14:textId="06B31F71" w:rsidR="001A7FD4" w:rsidRPr="00056D5F" w:rsidRDefault="001A7FD4" w:rsidP="00964358">
            <w:pPr>
              <w:autoSpaceDE w:val="0"/>
              <w:autoSpaceDN w:val="0"/>
              <w:adjustRightInd w:val="0"/>
              <w:snapToGrid w:val="0"/>
              <w:jc w:val="center"/>
              <w:rPr>
                <w:rFonts w:ascii="Arial" w:hAnsi="Arial" w:cs="Arial"/>
                <w:b/>
                <w:bCs/>
                <w:sz w:val="20"/>
                <w:szCs w:val="28"/>
                <w:lang w:val="en-GB"/>
              </w:rPr>
            </w:pPr>
            <w:bookmarkStart w:id="0" w:name="_Hlk87538510"/>
            <w:r w:rsidRPr="00056D5F">
              <w:rPr>
                <w:rFonts w:ascii="Arial" w:hAnsi="Arial" w:cs="Arial"/>
                <w:b/>
                <w:bCs/>
                <w:sz w:val="20"/>
                <w:szCs w:val="28"/>
                <w:lang w:val="en-GB"/>
              </w:rPr>
              <w:t xml:space="preserve">Phage </w:t>
            </w:r>
            <w:r>
              <w:rPr>
                <w:rFonts w:ascii="Arial" w:hAnsi="Arial" w:cs="Arial"/>
                <w:b/>
                <w:bCs/>
                <w:sz w:val="20"/>
                <w:szCs w:val="28"/>
                <w:lang w:val="en-GB"/>
              </w:rPr>
              <w:t>strain</w:t>
            </w:r>
          </w:p>
        </w:tc>
        <w:tc>
          <w:tcPr>
            <w:tcW w:w="1276" w:type="dxa"/>
            <w:tcBorders>
              <w:top w:val="single" w:sz="8" w:space="0" w:color="auto"/>
              <w:bottom w:val="single" w:sz="4" w:space="0" w:color="auto"/>
            </w:tcBorders>
          </w:tcPr>
          <w:p w14:paraId="59B8622F" w14:textId="02217C35" w:rsidR="001A7FD4" w:rsidRPr="00056D5F" w:rsidRDefault="001A7FD4" w:rsidP="00964358">
            <w:pPr>
              <w:autoSpaceDE w:val="0"/>
              <w:autoSpaceDN w:val="0"/>
              <w:adjustRightInd w:val="0"/>
              <w:snapToGrid w:val="0"/>
              <w:jc w:val="center"/>
              <w:rPr>
                <w:rFonts w:ascii="Arial" w:hAnsi="Arial" w:cs="Arial"/>
                <w:b/>
                <w:bCs/>
                <w:sz w:val="20"/>
                <w:szCs w:val="28"/>
                <w:lang w:val="en-GB"/>
              </w:rPr>
            </w:pPr>
            <w:r>
              <w:rPr>
                <w:rFonts w:ascii="Arial" w:hAnsi="Arial" w:cs="Arial"/>
                <w:b/>
                <w:bCs/>
                <w:sz w:val="20"/>
                <w:szCs w:val="28"/>
                <w:lang w:val="en-GB"/>
              </w:rPr>
              <w:t>INSDC</w:t>
            </w:r>
          </w:p>
        </w:tc>
        <w:tc>
          <w:tcPr>
            <w:tcW w:w="1134" w:type="dxa"/>
            <w:tcBorders>
              <w:top w:val="single" w:sz="8" w:space="0" w:color="auto"/>
              <w:bottom w:val="single" w:sz="4" w:space="0" w:color="auto"/>
            </w:tcBorders>
            <w:shd w:val="clear" w:color="auto" w:fill="auto"/>
            <w:vAlign w:val="center"/>
          </w:tcPr>
          <w:p w14:paraId="429A1E79" w14:textId="715B6180" w:rsidR="001A7FD4" w:rsidRPr="00056D5F" w:rsidRDefault="001A7FD4" w:rsidP="00964358">
            <w:pPr>
              <w:autoSpaceDE w:val="0"/>
              <w:autoSpaceDN w:val="0"/>
              <w:adjustRightInd w:val="0"/>
              <w:snapToGrid w:val="0"/>
              <w:jc w:val="center"/>
              <w:rPr>
                <w:rFonts w:ascii="Arial" w:hAnsi="Arial" w:cs="Arial"/>
                <w:b/>
                <w:bCs/>
                <w:sz w:val="20"/>
                <w:szCs w:val="28"/>
                <w:lang w:val="en-GB"/>
              </w:rPr>
            </w:pPr>
            <w:r w:rsidRPr="00056D5F">
              <w:rPr>
                <w:rFonts w:ascii="Arial" w:hAnsi="Arial" w:cs="Arial"/>
                <w:b/>
                <w:bCs/>
                <w:sz w:val="20"/>
                <w:szCs w:val="28"/>
                <w:lang w:val="en-GB"/>
              </w:rPr>
              <w:t>Size (bp)</w:t>
            </w:r>
          </w:p>
        </w:tc>
        <w:tc>
          <w:tcPr>
            <w:tcW w:w="567" w:type="dxa"/>
            <w:tcBorders>
              <w:top w:val="single" w:sz="8" w:space="0" w:color="auto"/>
              <w:bottom w:val="single" w:sz="4" w:space="0" w:color="auto"/>
            </w:tcBorders>
            <w:shd w:val="clear" w:color="auto" w:fill="auto"/>
            <w:vAlign w:val="center"/>
          </w:tcPr>
          <w:p w14:paraId="2D8FCF84" w14:textId="77777777" w:rsidR="001A7FD4" w:rsidRPr="00056D5F" w:rsidRDefault="001A7FD4" w:rsidP="00964358">
            <w:pPr>
              <w:autoSpaceDE w:val="0"/>
              <w:autoSpaceDN w:val="0"/>
              <w:adjustRightInd w:val="0"/>
              <w:snapToGrid w:val="0"/>
              <w:jc w:val="center"/>
              <w:rPr>
                <w:rFonts w:ascii="Arial" w:hAnsi="Arial" w:cs="Arial"/>
                <w:b/>
                <w:bCs/>
                <w:sz w:val="20"/>
                <w:szCs w:val="28"/>
                <w:lang w:val="en-GB"/>
              </w:rPr>
            </w:pPr>
            <w:r w:rsidRPr="00056D5F">
              <w:rPr>
                <w:rFonts w:ascii="Arial" w:hAnsi="Arial" w:cs="Arial"/>
                <w:b/>
                <w:bCs/>
                <w:sz w:val="20"/>
                <w:szCs w:val="28"/>
                <w:lang w:val="en-GB"/>
              </w:rPr>
              <w:t>GC%</w:t>
            </w:r>
          </w:p>
        </w:tc>
        <w:tc>
          <w:tcPr>
            <w:tcW w:w="1134" w:type="dxa"/>
            <w:tcBorders>
              <w:top w:val="single" w:sz="8" w:space="0" w:color="auto"/>
              <w:bottom w:val="single" w:sz="4" w:space="0" w:color="auto"/>
            </w:tcBorders>
            <w:shd w:val="clear" w:color="auto" w:fill="auto"/>
            <w:vAlign w:val="center"/>
          </w:tcPr>
          <w:p w14:paraId="0118C057" w14:textId="37C73A41" w:rsidR="001A7FD4" w:rsidRPr="00056D5F" w:rsidRDefault="001A7FD4" w:rsidP="00964358">
            <w:pPr>
              <w:autoSpaceDE w:val="0"/>
              <w:autoSpaceDN w:val="0"/>
              <w:adjustRightInd w:val="0"/>
              <w:snapToGrid w:val="0"/>
              <w:jc w:val="center"/>
              <w:rPr>
                <w:rFonts w:ascii="Arial" w:hAnsi="Arial" w:cs="Arial"/>
                <w:b/>
                <w:bCs/>
                <w:sz w:val="20"/>
                <w:szCs w:val="28"/>
                <w:lang w:val="en-GB"/>
              </w:rPr>
            </w:pPr>
            <w:r w:rsidRPr="00056D5F">
              <w:rPr>
                <w:rFonts w:ascii="Arial" w:hAnsi="Arial" w:cs="Arial"/>
                <w:b/>
                <w:bCs/>
                <w:sz w:val="20"/>
                <w:szCs w:val="28"/>
                <w:lang w:val="en-GB"/>
              </w:rPr>
              <w:t>Proteins</w:t>
            </w:r>
            <w:r>
              <w:rPr>
                <w:rFonts w:ascii="Arial" w:hAnsi="Arial" w:cs="Arial"/>
                <w:b/>
                <w:bCs/>
                <w:sz w:val="20"/>
                <w:szCs w:val="28"/>
                <w:lang w:val="en-GB"/>
              </w:rPr>
              <w:t xml:space="preserve"> </w:t>
            </w:r>
            <w:r w:rsidRPr="00056D5F">
              <w:rPr>
                <w:rFonts w:ascii="Arial" w:hAnsi="Arial" w:cs="Arial"/>
                <w:b/>
                <w:bCs/>
                <w:sz w:val="20"/>
                <w:szCs w:val="28"/>
                <w:vertAlign w:val="superscript"/>
                <w:lang w:val="en-GB"/>
              </w:rPr>
              <w:t>a</w:t>
            </w:r>
          </w:p>
        </w:tc>
        <w:tc>
          <w:tcPr>
            <w:tcW w:w="850" w:type="dxa"/>
            <w:tcBorders>
              <w:top w:val="single" w:sz="8" w:space="0" w:color="auto"/>
              <w:bottom w:val="single" w:sz="4" w:space="0" w:color="auto"/>
            </w:tcBorders>
            <w:shd w:val="clear" w:color="auto" w:fill="auto"/>
            <w:vAlign w:val="center"/>
          </w:tcPr>
          <w:p w14:paraId="2D9784BA" w14:textId="77777777" w:rsidR="001A7FD4" w:rsidRPr="00056D5F" w:rsidRDefault="001A7FD4" w:rsidP="00964358">
            <w:pPr>
              <w:autoSpaceDE w:val="0"/>
              <w:autoSpaceDN w:val="0"/>
              <w:adjustRightInd w:val="0"/>
              <w:snapToGrid w:val="0"/>
              <w:jc w:val="center"/>
              <w:rPr>
                <w:rFonts w:ascii="Arial" w:hAnsi="Arial" w:cs="Arial"/>
                <w:b/>
                <w:bCs/>
                <w:sz w:val="20"/>
                <w:szCs w:val="28"/>
                <w:lang w:val="en-GB"/>
              </w:rPr>
            </w:pPr>
            <w:r w:rsidRPr="00056D5F">
              <w:rPr>
                <w:rFonts w:ascii="Arial" w:hAnsi="Arial" w:cs="Arial"/>
                <w:b/>
                <w:bCs/>
                <w:sz w:val="20"/>
                <w:szCs w:val="28"/>
                <w:lang w:val="en-GB"/>
              </w:rPr>
              <w:t>Coding Density</w:t>
            </w:r>
          </w:p>
        </w:tc>
        <w:tc>
          <w:tcPr>
            <w:tcW w:w="2126" w:type="dxa"/>
            <w:tcBorders>
              <w:top w:val="single" w:sz="8" w:space="0" w:color="auto"/>
              <w:bottom w:val="single" w:sz="4" w:space="0" w:color="auto"/>
            </w:tcBorders>
            <w:shd w:val="clear" w:color="auto" w:fill="auto"/>
            <w:vAlign w:val="center"/>
          </w:tcPr>
          <w:p w14:paraId="24D77FB7" w14:textId="3EE1C40E" w:rsidR="001A7FD4" w:rsidRPr="00056D5F" w:rsidRDefault="001A7FD4" w:rsidP="00964358">
            <w:pPr>
              <w:autoSpaceDE w:val="0"/>
              <w:autoSpaceDN w:val="0"/>
              <w:adjustRightInd w:val="0"/>
              <w:snapToGrid w:val="0"/>
              <w:jc w:val="center"/>
              <w:rPr>
                <w:rFonts w:ascii="Arial" w:hAnsi="Arial" w:cs="Arial"/>
                <w:b/>
                <w:bCs/>
                <w:sz w:val="20"/>
                <w:szCs w:val="28"/>
                <w:lang w:val="en-GB"/>
              </w:rPr>
            </w:pPr>
            <w:r w:rsidRPr="00056D5F">
              <w:rPr>
                <w:rFonts w:ascii="Arial" w:hAnsi="Arial" w:cs="Arial"/>
                <w:b/>
                <w:bCs/>
                <w:sz w:val="20"/>
                <w:szCs w:val="28"/>
                <w:lang w:val="en-GB"/>
              </w:rPr>
              <w:t>Genome Similarity/Query Cover (%, BLASTn)</w:t>
            </w:r>
            <w:r>
              <w:rPr>
                <w:rFonts w:ascii="Arial" w:hAnsi="Arial" w:cs="Arial"/>
                <w:b/>
                <w:bCs/>
                <w:sz w:val="20"/>
                <w:szCs w:val="28"/>
                <w:lang w:val="en-GB"/>
              </w:rPr>
              <w:t xml:space="preserve"> </w:t>
            </w:r>
            <w:r w:rsidR="00995672">
              <w:rPr>
                <w:rFonts w:ascii="Arial" w:hAnsi="Arial" w:cs="Arial"/>
                <w:b/>
                <w:bCs/>
                <w:sz w:val="20"/>
                <w:szCs w:val="28"/>
                <w:vertAlign w:val="superscript"/>
                <w:lang w:val="en-GB"/>
              </w:rPr>
              <w:t>b</w:t>
            </w:r>
          </w:p>
        </w:tc>
        <w:tc>
          <w:tcPr>
            <w:tcW w:w="993" w:type="dxa"/>
            <w:tcBorders>
              <w:top w:val="single" w:sz="8" w:space="0" w:color="auto"/>
              <w:bottom w:val="single" w:sz="4" w:space="0" w:color="auto"/>
            </w:tcBorders>
            <w:shd w:val="clear" w:color="auto" w:fill="auto"/>
            <w:vAlign w:val="center"/>
          </w:tcPr>
          <w:p w14:paraId="7A4B45D6" w14:textId="4515D81B" w:rsidR="001A7FD4" w:rsidRPr="00056D5F" w:rsidRDefault="001A7FD4" w:rsidP="00964358">
            <w:pPr>
              <w:autoSpaceDE w:val="0"/>
              <w:autoSpaceDN w:val="0"/>
              <w:adjustRightInd w:val="0"/>
              <w:snapToGrid w:val="0"/>
              <w:jc w:val="center"/>
              <w:rPr>
                <w:rFonts w:ascii="Arial" w:hAnsi="Arial" w:cs="Arial"/>
                <w:b/>
                <w:bCs/>
                <w:sz w:val="20"/>
                <w:szCs w:val="28"/>
                <w:lang w:val="en-GB"/>
              </w:rPr>
            </w:pPr>
            <w:r w:rsidRPr="00056D5F">
              <w:rPr>
                <w:rFonts w:ascii="Arial" w:hAnsi="Arial" w:cs="Arial"/>
                <w:b/>
                <w:bCs/>
                <w:sz w:val="20"/>
                <w:szCs w:val="28"/>
                <w:lang w:val="en-GB"/>
              </w:rPr>
              <w:t>Genomic similarity (VIRIDI</w:t>
            </w:r>
            <w:r w:rsidR="0052283E">
              <w:rPr>
                <w:rFonts w:ascii="Arial" w:hAnsi="Arial" w:cs="Arial"/>
                <w:b/>
                <w:bCs/>
                <w:sz w:val="20"/>
                <w:szCs w:val="28"/>
                <w:lang w:val="en-GB"/>
              </w:rPr>
              <w:t>C</w:t>
            </w:r>
            <w:r w:rsidRPr="00056D5F">
              <w:rPr>
                <w:rFonts w:ascii="Arial" w:hAnsi="Arial" w:cs="Arial"/>
                <w:b/>
                <w:bCs/>
                <w:sz w:val="20"/>
                <w:szCs w:val="28"/>
                <w:lang w:val="en-GB"/>
              </w:rPr>
              <w:t>)</w:t>
            </w:r>
          </w:p>
        </w:tc>
        <w:tc>
          <w:tcPr>
            <w:tcW w:w="1025" w:type="dxa"/>
            <w:tcBorders>
              <w:top w:val="single" w:sz="8" w:space="0" w:color="auto"/>
              <w:bottom w:val="single" w:sz="4" w:space="0" w:color="auto"/>
            </w:tcBorders>
            <w:shd w:val="clear" w:color="auto" w:fill="auto"/>
            <w:vAlign w:val="center"/>
          </w:tcPr>
          <w:p w14:paraId="34C32DB3" w14:textId="77777777" w:rsidR="001A7FD4" w:rsidRPr="00056D5F" w:rsidRDefault="001A7FD4" w:rsidP="00964358">
            <w:pPr>
              <w:autoSpaceDE w:val="0"/>
              <w:autoSpaceDN w:val="0"/>
              <w:adjustRightInd w:val="0"/>
              <w:snapToGrid w:val="0"/>
              <w:jc w:val="center"/>
              <w:rPr>
                <w:rFonts w:ascii="Arial" w:hAnsi="Arial" w:cs="Arial"/>
                <w:b/>
                <w:bCs/>
                <w:sz w:val="20"/>
                <w:szCs w:val="28"/>
                <w:lang w:val="en-GB"/>
              </w:rPr>
            </w:pPr>
            <w:r w:rsidRPr="00056D5F">
              <w:rPr>
                <w:rFonts w:ascii="Arial" w:hAnsi="Arial" w:cs="Arial"/>
                <w:b/>
                <w:bCs/>
                <w:sz w:val="20"/>
                <w:szCs w:val="28"/>
                <w:lang w:val="en-GB"/>
              </w:rPr>
              <w:t>Shared Proteins (%)</w:t>
            </w:r>
          </w:p>
        </w:tc>
      </w:tr>
      <w:tr w:rsidR="001A7FD4" w:rsidRPr="00056D5F" w14:paraId="756B5DC9" w14:textId="77777777" w:rsidTr="00995672">
        <w:trPr>
          <w:jc w:val="center"/>
        </w:trPr>
        <w:tc>
          <w:tcPr>
            <w:tcW w:w="1782" w:type="dxa"/>
            <w:tcBorders>
              <w:top w:val="single" w:sz="4" w:space="0" w:color="auto"/>
            </w:tcBorders>
            <w:shd w:val="clear" w:color="auto" w:fill="auto"/>
            <w:vAlign w:val="center"/>
          </w:tcPr>
          <w:p w14:paraId="70E251FF" w14:textId="55B0F992" w:rsidR="001A7FD4" w:rsidRPr="00056D5F" w:rsidRDefault="00995672" w:rsidP="00964358">
            <w:pPr>
              <w:autoSpaceDE w:val="0"/>
              <w:autoSpaceDN w:val="0"/>
              <w:adjustRightInd w:val="0"/>
              <w:snapToGrid w:val="0"/>
              <w:jc w:val="center"/>
              <w:rPr>
                <w:rFonts w:ascii="Arial" w:hAnsi="Arial" w:cs="Arial"/>
                <w:sz w:val="20"/>
                <w:szCs w:val="28"/>
                <w:lang w:val="en-GB"/>
              </w:rPr>
            </w:pPr>
            <w:r>
              <w:rPr>
                <w:rFonts w:ascii="Arial" w:hAnsi="Arial" w:cs="Arial"/>
                <w:sz w:val="20"/>
                <w:szCs w:val="28"/>
                <w:lang w:val="en-GB"/>
              </w:rPr>
              <w:t>vB_SmaM_Ps15</w:t>
            </w:r>
          </w:p>
        </w:tc>
        <w:tc>
          <w:tcPr>
            <w:tcW w:w="1276" w:type="dxa"/>
            <w:tcBorders>
              <w:top w:val="single" w:sz="4" w:space="0" w:color="auto"/>
            </w:tcBorders>
          </w:tcPr>
          <w:p w14:paraId="19827917" w14:textId="27BA4360" w:rsidR="001A7FD4" w:rsidRPr="00056D5F" w:rsidRDefault="00C10232" w:rsidP="00964358">
            <w:pPr>
              <w:autoSpaceDE w:val="0"/>
              <w:autoSpaceDN w:val="0"/>
              <w:adjustRightInd w:val="0"/>
              <w:snapToGrid w:val="0"/>
              <w:jc w:val="center"/>
              <w:rPr>
                <w:rFonts w:ascii="Arial" w:hAnsi="Arial" w:cs="Arial"/>
                <w:sz w:val="20"/>
                <w:szCs w:val="28"/>
                <w:lang w:val="en-GB"/>
              </w:rPr>
            </w:pPr>
            <w:hyperlink r:id="rId8" w:history="1">
              <w:r w:rsidR="00DB46A2" w:rsidRPr="00DB46A2">
                <w:rPr>
                  <w:rStyle w:val="Hyperlink"/>
                  <w:rFonts w:ascii="Arial" w:hAnsi="Arial" w:cs="Arial"/>
                  <w:sz w:val="20"/>
                  <w:szCs w:val="28"/>
                </w:rPr>
                <w:t>OL702939.1</w:t>
              </w:r>
            </w:hyperlink>
          </w:p>
        </w:tc>
        <w:tc>
          <w:tcPr>
            <w:tcW w:w="1134" w:type="dxa"/>
            <w:tcBorders>
              <w:top w:val="single" w:sz="4" w:space="0" w:color="auto"/>
            </w:tcBorders>
            <w:shd w:val="clear" w:color="auto" w:fill="auto"/>
            <w:vAlign w:val="center"/>
          </w:tcPr>
          <w:p w14:paraId="35708E43" w14:textId="119B9A7D"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161,350</w:t>
            </w:r>
          </w:p>
        </w:tc>
        <w:tc>
          <w:tcPr>
            <w:tcW w:w="567" w:type="dxa"/>
            <w:tcBorders>
              <w:top w:val="single" w:sz="4" w:space="0" w:color="auto"/>
            </w:tcBorders>
            <w:shd w:val="clear" w:color="auto" w:fill="auto"/>
            <w:vAlign w:val="center"/>
          </w:tcPr>
          <w:p w14:paraId="3A0E6619"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54.2</w:t>
            </w:r>
          </w:p>
        </w:tc>
        <w:tc>
          <w:tcPr>
            <w:tcW w:w="1134" w:type="dxa"/>
            <w:tcBorders>
              <w:top w:val="single" w:sz="4" w:space="0" w:color="auto"/>
            </w:tcBorders>
            <w:shd w:val="clear" w:color="auto" w:fill="auto"/>
            <w:vAlign w:val="center"/>
          </w:tcPr>
          <w:p w14:paraId="556FAB0B"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275</w:t>
            </w:r>
          </w:p>
        </w:tc>
        <w:tc>
          <w:tcPr>
            <w:tcW w:w="850" w:type="dxa"/>
            <w:tcBorders>
              <w:top w:val="single" w:sz="4" w:space="0" w:color="auto"/>
            </w:tcBorders>
            <w:shd w:val="clear" w:color="auto" w:fill="auto"/>
            <w:vAlign w:val="center"/>
          </w:tcPr>
          <w:p w14:paraId="3801964B"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93.86</w:t>
            </w:r>
          </w:p>
        </w:tc>
        <w:tc>
          <w:tcPr>
            <w:tcW w:w="2126" w:type="dxa"/>
            <w:tcBorders>
              <w:top w:val="single" w:sz="4" w:space="0" w:color="auto"/>
            </w:tcBorders>
            <w:shd w:val="clear" w:color="auto" w:fill="auto"/>
            <w:vAlign w:val="center"/>
          </w:tcPr>
          <w:p w14:paraId="15AD195D" w14:textId="77777777" w:rsidR="001A7FD4" w:rsidRPr="00056D5F" w:rsidRDefault="001A7FD4" w:rsidP="00056D5F">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100.0/100</w:t>
            </w:r>
          </w:p>
        </w:tc>
        <w:tc>
          <w:tcPr>
            <w:tcW w:w="993" w:type="dxa"/>
            <w:tcBorders>
              <w:top w:val="single" w:sz="4" w:space="0" w:color="auto"/>
            </w:tcBorders>
            <w:shd w:val="clear" w:color="auto" w:fill="auto"/>
            <w:vAlign w:val="center"/>
          </w:tcPr>
          <w:p w14:paraId="2CB2CEAA"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100</w:t>
            </w:r>
          </w:p>
        </w:tc>
        <w:tc>
          <w:tcPr>
            <w:tcW w:w="1025" w:type="dxa"/>
            <w:tcBorders>
              <w:top w:val="single" w:sz="4" w:space="0" w:color="auto"/>
            </w:tcBorders>
            <w:shd w:val="clear" w:color="auto" w:fill="auto"/>
            <w:vAlign w:val="center"/>
          </w:tcPr>
          <w:p w14:paraId="62AF2D57" w14:textId="42CFA92C"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27</w:t>
            </w:r>
            <w:r>
              <w:rPr>
                <w:rFonts w:ascii="Arial" w:hAnsi="Arial" w:cs="Arial"/>
                <w:sz w:val="20"/>
                <w:szCs w:val="28"/>
                <w:lang w:val="en-GB"/>
              </w:rPr>
              <w:t>5</w:t>
            </w:r>
            <w:r w:rsidRPr="00056D5F">
              <w:rPr>
                <w:rFonts w:ascii="Arial" w:hAnsi="Arial" w:cs="Arial"/>
                <w:sz w:val="20"/>
                <w:szCs w:val="28"/>
                <w:lang w:val="en-GB"/>
              </w:rPr>
              <w:t xml:space="preserve"> (100)</w:t>
            </w:r>
          </w:p>
        </w:tc>
      </w:tr>
      <w:tr w:rsidR="001A7FD4" w:rsidRPr="00056D5F" w14:paraId="4ADABCE8" w14:textId="77777777" w:rsidTr="00995672">
        <w:trPr>
          <w:jc w:val="center"/>
        </w:trPr>
        <w:tc>
          <w:tcPr>
            <w:tcW w:w="1782" w:type="dxa"/>
            <w:shd w:val="clear" w:color="auto" w:fill="auto"/>
            <w:vAlign w:val="center"/>
          </w:tcPr>
          <w:p w14:paraId="32F9D989"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BUCT608</w:t>
            </w:r>
          </w:p>
        </w:tc>
        <w:tc>
          <w:tcPr>
            <w:tcW w:w="1276" w:type="dxa"/>
          </w:tcPr>
          <w:p w14:paraId="79EED0C9" w14:textId="1D6C2137" w:rsidR="001A7FD4" w:rsidRPr="00056D5F" w:rsidRDefault="00C10232" w:rsidP="00964358">
            <w:pPr>
              <w:autoSpaceDE w:val="0"/>
              <w:autoSpaceDN w:val="0"/>
              <w:adjustRightInd w:val="0"/>
              <w:snapToGrid w:val="0"/>
              <w:jc w:val="center"/>
              <w:rPr>
                <w:rFonts w:ascii="Arial" w:hAnsi="Arial" w:cs="Arial"/>
                <w:sz w:val="20"/>
                <w:szCs w:val="28"/>
                <w:lang w:val="en-GB"/>
              </w:rPr>
            </w:pPr>
            <w:hyperlink r:id="rId9" w:history="1">
              <w:r w:rsidR="001A7FD4" w:rsidRPr="001A7FD4">
                <w:rPr>
                  <w:rStyle w:val="Hyperlink"/>
                  <w:rFonts w:ascii="Arial" w:hAnsi="Arial" w:cs="Arial"/>
                  <w:sz w:val="20"/>
                  <w:szCs w:val="28"/>
                </w:rPr>
                <w:t>MZ398248.1</w:t>
              </w:r>
            </w:hyperlink>
          </w:p>
        </w:tc>
        <w:tc>
          <w:tcPr>
            <w:tcW w:w="1134" w:type="dxa"/>
            <w:shd w:val="clear" w:color="auto" w:fill="auto"/>
            <w:vAlign w:val="center"/>
          </w:tcPr>
          <w:p w14:paraId="361B3DCD" w14:textId="3D6C2C5D"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160,122</w:t>
            </w:r>
          </w:p>
        </w:tc>
        <w:tc>
          <w:tcPr>
            <w:tcW w:w="567" w:type="dxa"/>
            <w:shd w:val="clear" w:color="auto" w:fill="auto"/>
            <w:vAlign w:val="center"/>
          </w:tcPr>
          <w:p w14:paraId="4E1EC3EE"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54.2</w:t>
            </w:r>
          </w:p>
        </w:tc>
        <w:tc>
          <w:tcPr>
            <w:tcW w:w="1134" w:type="dxa"/>
            <w:shd w:val="clear" w:color="auto" w:fill="auto"/>
            <w:vAlign w:val="center"/>
          </w:tcPr>
          <w:p w14:paraId="0D4F4EDE"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270 (266)</w:t>
            </w:r>
          </w:p>
        </w:tc>
        <w:tc>
          <w:tcPr>
            <w:tcW w:w="850" w:type="dxa"/>
            <w:shd w:val="clear" w:color="auto" w:fill="auto"/>
            <w:vAlign w:val="center"/>
          </w:tcPr>
          <w:p w14:paraId="3691401D"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94.15</w:t>
            </w:r>
          </w:p>
        </w:tc>
        <w:tc>
          <w:tcPr>
            <w:tcW w:w="2126" w:type="dxa"/>
            <w:shd w:val="clear" w:color="auto" w:fill="auto"/>
            <w:vAlign w:val="center"/>
          </w:tcPr>
          <w:p w14:paraId="51092A72" w14:textId="77777777" w:rsidR="001A7FD4" w:rsidRPr="00056D5F" w:rsidRDefault="001A7FD4" w:rsidP="00056D5F">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98.62/92</w:t>
            </w:r>
          </w:p>
        </w:tc>
        <w:tc>
          <w:tcPr>
            <w:tcW w:w="993" w:type="dxa"/>
            <w:shd w:val="clear" w:color="auto" w:fill="auto"/>
            <w:vAlign w:val="center"/>
          </w:tcPr>
          <w:p w14:paraId="67AE2C75" w14:textId="608B55AB"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89.39</w:t>
            </w:r>
          </w:p>
        </w:tc>
        <w:tc>
          <w:tcPr>
            <w:tcW w:w="1025" w:type="dxa"/>
            <w:shd w:val="clear" w:color="auto" w:fill="auto"/>
            <w:vAlign w:val="center"/>
          </w:tcPr>
          <w:p w14:paraId="1FEC6490"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221 (81.85)</w:t>
            </w:r>
          </w:p>
        </w:tc>
      </w:tr>
      <w:tr w:rsidR="001A7FD4" w:rsidRPr="00056D5F" w14:paraId="26C59B68" w14:textId="77777777" w:rsidTr="00995672">
        <w:trPr>
          <w:jc w:val="center"/>
        </w:trPr>
        <w:tc>
          <w:tcPr>
            <w:tcW w:w="1782" w:type="dxa"/>
            <w:shd w:val="clear" w:color="auto" w:fill="auto"/>
            <w:vAlign w:val="center"/>
          </w:tcPr>
          <w:p w14:paraId="448DECE5"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IME-SM1</w:t>
            </w:r>
          </w:p>
        </w:tc>
        <w:tc>
          <w:tcPr>
            <w:tcW w:w="1276" w:type="dxa"/>
          </w:tcPr>
          <w:p w14:paraId="1B907949" w14:textId="75B0BEBF" w:rsidR="001A7FD4" w:rsidRPr="00056D5F" w:rsidRDefault="00C10232" w:rsidP="00964358">
            <w:pPr>
              <w:autoSpaceDE w:val="0"/>
              <w:autoSpaceDN w:val="0"/>
              <w:adjustRightInd w:val="0"/>
              <w:snapToGrid w:val="0"/>
              <w:jc w:val="center"/>
              <w:rPr>
                <w:rFonts w:ascii="Arial" w:hAnsi="Arial" w:cs="Arial"/>
                <w:sz w:val="20"/>
                <w:szCs w:val="28"/>
                <w:lang w:val="en-GB"/>
              </w:rPr>
            </w:pPr>
            <w:hyperlink r:id="rId10" w:history="1">
              <w:r w:rsidR="001A7FD4" w:rsidRPr="001A7FD4">
                <w:rPr>
                  <w:rStyle w:val="Hyperlink"/>
                  <w:rFonts w:ascii="Arial" w:hAnsi="Arial" w:cs="Arial"/>
                  <w:sz w:val="20"/>
                  <w:szCs w:val="28"/>
                </w:rPr>
                <w:t>KR560069.1</w:t>
              </w:r>
            </w:hyperlink>
          </w:p>
        </w:tc>
        <w:tc>
          <w:tcPr>
            <w:tcW w:w="1134" w:type="dxa"/>
            <w:shd w:val="clear" w:color="auto" w:fill="auto"/>
            <w:vAlign w:val="center"/>
          </w:tcPr>
          <w:p w14:paraId="13C5D427" w14:textId="59CCA98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159,514</w:t>
            </w:r>
          </w:p>
        </w:tc>
        <w:tc>
          <w:tcPr>
            <w:tcW w:w="567" w:type="dxa"/>
            <w:shd w:val="clear" w:color="auto" w:fill="auto"/>
            <w:vAlign w:val="center"/>
          </w:tcPr>
          <w:p w14:paraId="2768902C"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54.1</w:t>
            </w:r>
          </w:p>
        </w:tc>
        <w:tc>
          <w:tcPr>
            <w:tcW w:w="1134" w:type="dxa"/>
            <w:shd w:val="clear" w:color="auto" w:fill="auto"/>
            <w:vAlign w:val="center"/>
          </w:tcPr>
          <w:p w14:paraId="716F9DB5"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267 (202)</w:t>
            </w:r>
          </w:p>
        </w:tc>
        <w:tc>
          <w:tcPr>
            <w:tcW w:w="850" w:type="dxa"/>
            <w:shd w:val="clear" w:color="auto" w:fill="auto"/>
            <w:vAlign w:val="center"/>
          </w:tcPr>
          <w:p w14:paraId="62020BA8" w14:textId="77777777" w:rsidR="001A7FD4" w:rsidRPr="00056D5F" w:rsidDel="009D2A44"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92.88</w:t>
            </w:r>
          </w:p>
        </w:tc>
        <w:tc>
          <w:tcPr>
            <w:tcW w:w="2126" w:type="dxa"/>
            <w:shd w:val="clear" w:color="auto" w:fill="auto"/>
            <w:vAlign w:val="center"/>
          </w:tcPr>
          <w:p w14:paraId="4C02DAFD" w14:textId="77777777" w:rsidR="001A7FD4" w:rsidRPr="00056D5F" w:rsidRDefault="001A7FD4" w:rsidP="00056D5F">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98.50/91</w:t>
            </w:r>
          </w:p>
        </w:tc>
        <w:tc>
          <w:tcPr>
            <w:tcW w:w="993" w:type="dxa"/>
            <w:shd w:val="clear" w:color="auto" w:fill="auto"/>
            <w:vAlign w:val="center"/>
          </w:tcPr>
          <w:p w14:paraId="2497F11B" w14:textId="64AE6C43"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88.21</w:t>
            </w:r>
          </w:p>
        </w:tc>
        <w:tc>
          <w:tcPr>
            <w:tcW w:w="1025" w:type="dxa"/>
            <w:shd w:val="clear" w:color="auto" w:fill="auto"/>
            <w:vAlign w:val="center"/>
          </w:tcPr>
          <w:p w14:paraId="74096070"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210 (78.65)</w:t>
            </w:r>
          </w:p>
        </w:tc>
      </w:tr>
      <w:tr w:rsidR="001A7FD4" w:rsidRPr="00056D5F" w14:paraId="3A2733B9" w14:textId="77777777" w:rsidTr="00995672">
        <w:trPr>
          <w:jc w:val="center"/>
        </w:trPr>
        <w:tc>
          <w:tcPr>
            <w:tcW w:w="1782" w:type="dxa"/>
            <w:shd w:val="clear" w:color="auto" w:fill="auto"/>
            <w:vAlign w:val="center"/>
          </w:tcPr>
          <w:p w14:paraId="05E79BDB"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Marzo</w:t>
            </w:r>
          </w:p>
        </w:tc>
        <w:tc>
          <w:tcPr>
            <w:tcW w:w="1276" w:type="dxa"/>
          </w:tcPr>
          <w:p w14:paraId="0BAACA33" w14:textId="37F73637" w:rsidR="001A7FD4" w:rsidRPr="00056D5F" w:rsidRDefault="00C10232" w:rsidP="00964358">
            <w:pPr>
              <w:autoSpaceDE w:val="0"/>
              <w:autoSpaceDN w:val="0"/>
              <w:adjustRightInd w:val="0"/>
              <w:snapToGrid w:val="0"/>
              <w:jc w:val="center"/>
              <w:rPr>
                <w:rFonts w:ascii="Arial" w:hAnsi="Arial" w:cs="Arial"/>
                <w:sz w:val="20"/>
                <w:szCs w:val="28"/>
                <w:lang w:val="en-GB"/>
              </w:rPr>
            </w:pPr>
            <w:hyperlink r:id="rId11" w:history="1">
              <w:r w:rsidR="00DB46A2" w:rsidRPr="00DB46A2">
                <w:rPr>
                  <w:rStyle w:val="Hyperlink"/>
                  <w:rFonts w:ascii="Arial" w:hAnsi="Arial" w:cs="Arial"/>
                  <w:sz w:val="20"/>
                  <w:szCs w:val="28"/>
                </w:rPr>
                <w:t>MZ326868.1</w:t>
              </w:r>
            </w:hyperlink>
          </w:p>
        </w:tc>
        <w:tc>
          <w:tcPr>
            <w:tcW w:w="1134" w:type="dxa"/>
            <w:shd w:val="clear" w:color="auto" w:fill="auto"/>
            <w:vAlign w:val="center"/>
          </w:tcPr>
          <w:p w14:paraId="2152E771" w14:textId="1089A5D0"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159,384</w:t>
            </w:r>
          </w:p>
        </w:tc>
        <w:tc>
          <w:tcPr>
            <w:tcW w:w="567" w:type="dxa"/>
            <w:shd w:val="clear" w:color="auto" w:fill="auto"/>
            <w:vAlign w:val="center"/>
          </w:tcPr>
          <w:p w14:paraId="0485AD73"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54.0</w:t>
            </w:r>
          </w:p>
        </w:tc>
        <w:tc>
          <w:tcPr>
            <w:tcW w:w="1134" w:type="dxa"/>
            <w:shd w:val="clear" w:color="auto" w:fill="auto"/>
            <w:vAlign w:val="center"/>
          </w:tcPr>
          <w:p w14:paraId="175BCEA0"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262 (268)</w:t>
            </w:r>
          </w:p>
        </w:tc>
        <w:tc>
          <w:tcPr>
            <w:tcW w:w="850" w:type="dxa"/>
            <w:shd w:val="clear" w:color="auto" w:fill="auto"/>
            <w:vAlign w:val="center"/>
          </w:tcPr>
          <w:p w14:paraId="38128C4B"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93.65</w:t>
            </w:r>
          </w:p>
        </w:tc>
        <w:tc>
          <w:tcPr>
            <w:tcW w:w="2126" w:type="dxa"/>
            <w:shd w:val="clear" w:color="auto" w:fill="auto"/>
            <w:vAlign w:val="center"/>
          </w:tcPr>
          <w:p w14:paraId="31548E1B" w14:textId="77777777" w:rsidR="001A7FD4" w:rsidRPr="00056D5F" w:rsidRDefault="001A7FD4" w:rsidP="00056D5F">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97.49/90.5</w:t>
            </w:r>
          </w:p>
        </w:tc>
        <w:tc>
          <w:tcPr>
            <w:tcW w:w="993" w:type="dxa"/>
            <w:shd w:val="clear" w:color="auto" w:fill="auto"/>
            <w:vAlign w:val="center"/>
          </w:tcPr>
          <w:p w14:paraId="13DC7522" w14:textId="510C558A"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86.11</w:t>
            </w:r>
          </w:p>
        </w:tc>
        <w:tc>
          <w:tcPr>
            <w:tcW w:w="1025" w:type="dxa"/>
            <w:shd w:val="clear" w:color="auto" w:fill="auto"/>
            <w:vAlign w:val="center"/>
          </w:tcPr>
          <w:p w14:paraId="0B864C3B"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213 (81.30)</w:t>
            </w:r>
          </w:p>
        </w:tc>
      </w:tr>
      <w:tr w:rsidR="001A7FD4" w:rsidRPr="00056D5F" w14:paraId="4333071A" w14:textId="77777777" w:rsidTr="00995672">
        <w:trPr>
          <w:jc w:val="center"/>
        </w:trPr>
        <w:tc>
          <w:tcPr>
            <w:tcW w:w="1782" w:type="dxa"/>
            <w:shd w:val="clear" w:color="auto" w:fill="auto"/>
            <w:vAlign w:val="center"/>
          </w:tcPr>
          <w:p w14:paraId="0CF81435"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Mendera</w:t>
            </w:r>
          </w:p>
        </w:tc>
        <w:tc>
          <w:tcPr>
            <w:tcW w:w="1276" w:type="dxa"/>
          </w:tcPr>
          <w:p w14:paraId="6A8B0340" w14:textId="090FBB3F" w:rsidR="001A7FD4" w:rsidRPr="00056D5F" w:rsidRDefault="00C10232" w:rsidP="00964358">
            <w:pPr>
              <w:autoSpaceDE w:val="0"/>
              <w:autoSpaceDN w:val="0"/>
              <w:adjustRightInd w:val="0"/>
              <w:snapToGrid w:val="0"/>
              <w:jc w:val="center"/>
              <w:rPr>
                <w:rFonts w:ascii="Arial" w:hAnsi="Arial" w:cs="Arial"/>
                <w:sz w:val="20"/>
                <w:szCs w:val="28"/>
                <w:lang w:val="en-GB"/>
              </w:rPr>
            </w:pPr>
            <w:hyperlink r:id="rId12" w:history="1">
              <w:r w:rsidR="001A7FD4" w:rsidRPr="001A7FD4">
                <w:rPr>
                  <w:rStyle w:val="Hyperlink"/>
                  <w:rFonts w:ascii="Arial" w:hAnsi="Arial" w:cs="Arial"/>
                  <w:sz w:val="20"/>
                  <w:szCs w:val="28"/>
                </w:rPr>
                <w:t>MN098328.1</w:t>
              </w:r>
            </w:hyperlink>
          </w:p>
        </w:tc>
        <w:tc>
          <w:tcPr>
            <w:tcW w:w="1134" w:type="dxa"/>
            <w:shd w:val="clear" w:color="auto" w:fill="auto"/>
            <w:vAlign w:val="center"/>
          </w:tcPr>
          <w:p w14:paraId="242BDA1F" w14:textId="321BAB65"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159,961</w:t>
            </w:r>
          </w:p>
        </w:tc>
        <w:tc>
          <w:tcPr>
            <w:tcW w:w="567" w:type="dxa"/>
            <w:shd w:val="clear" w:color="auto" w:fill="auto"/>
            <w:vAlign w:val="center"/>
          </w:tcPr>
          <w:p w14:paraId="415B98D3"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54.0</w:t>
            </w:r>
          </w:p>
        </w:tc>
        <w:tc>
          <w:tcPr>
            <w:tcW w:w="1134" w:type="dxa"/>
            <w:shd w:val="clear" w:color="auto" w:fill="auto"/>
            <w:vAlign w:val="center"/>
          </w:tcPr>
          <w:p w14:paraId="7202AE04"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272 (286)</w:t>
            </w:r>
          </w:p>
        </w:tc>
        <w:tc>
          <w:tcPr>
            <w:tcW w:w="850" w:type="dxa"/>
            <w:shd w:val="clear" w:color="auto" w:fill="auto"/>
            <w:vAlign w:val="center"/>
          </w:tcPr>
          <w:p w14:paraId="6BDAC7B6" w14:textId="77777777" w:rsidR="001A7FD4" w:rsidRPr="00056D5F" w:rsidDel="009D2A44"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94.05</w:t>
            </w:r>
          </w:p>
        </w:tc>
        <w:tc>
          <w:tcPr>
            <w:tcW w:w="2126" w:type="dxa"/>
            <w:shd w:val="clear" w:color="auto" w:fill="auto"/>
            <w:vAlign w:val="center"/>
          </w:tcPr>
          <w:p w14:paraId="1D23A751" w14:textId="77777777" w:rsidR="001A7FD4" w:rsidRPr="00056D5F" w:rsidRDefault="001A7FD4" w:rsidP="00056D5F">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98.07/89.5</w:t>
            </w:r>
          </w:p>
        </w:tc>
        <w:tc>
          <w:tcPr>
            <w:tcW w:w="993" w:type="dxa"/>
            <w:shd w:val="clear" w:color="auto" w:fill="auto"/>
            <w:vAlign w:val="center"/>
          </w:tcPr>
          <w:p w14:paraId="7BD69E25" w14:textId="72879C41"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86.09</w:t>
            </w:r>
          </w:p>
        </w:tc>
        <w:tc>
          <w:tcPr>
            <w:tcW w:w="1025" w:type="dxa"/>
            <w:shd w:val="clear" w:color="auto" w:fill="auto"/>
            <w:vAlign w:val="center"/>
          </w:tcPr>
          <w:p w14:paraId="737DFBD5"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207 (76.10)</w:t>
            </w:r>
          </w:p>
        </w:tc>
      </w:tr>
      <w:tr w:rsidR="001A7FD4" w:rsidRPr="00056D5F" w14:paraId="273FD862" w14:textId="77777777" w:rsidTr="00995672">
        <w:trPr>
          <w:jc w:val="center"/>
        </w:trPr>
        <w:tc>
          <w:tcPr>
            <w:tcW w:w="1782" w:type="dxa"/>
            <w:shd w:val="clear" w:color="auto" w:fill="auto"/>
            <w:vAlign w:val="center"/>
          </w:tcPr>
          <w:p w14:paraId="17A43981"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Moby</w:t>
            </w:r>
          </w:p>
        </w:tc>
        <w:tc>
          <w:tcPr>
            <w:tcW w:w="1276" w:type="dxa"/>
          </w:tcPr>
          <w:p w14:paraId="51BA8E14" w14:textId="0F1EA279" w:rsidR="001A7FD4" w:rsidRPr="00056D5F" w:rsidRDefault="00C10232" w:rsidP="00964358">
            <w:pPr>
              <w:autoSpaceDE w:val="0"/>
              <w:autoSpaceDN w:val="0"/>
              <w:adjustRightInd w:val="0"/>
              <w:snapToGrid w:val="0"/>
              <w:jc w:val="center"/>
              <w:rPr>
                <w:rFonts w:ascii="Arial" w:hAnsi="Arial" w:cs="Arial"/>
                <w:sz w:val="20"/>
                <w:szCs w:val="28"/>
                <w:lang w:val="en-GB"/>
              </w:rPr>
            </w:pPr>
            <w:hyperlink r:id="rId13" w:history="1">
              <w:r w:rsidR="001A7FD4" w:rsidRPr="001A7FD4">
                <w:rPr>
                  <w:rStyle w:val="Hyperlink"/>
                  <w:rFonts w:ascii="Arial" w:hAnsi="Arial" w:cs="Arial"/>
                  <w:sz w:val="20"/>
                  <w:szCs w:val="28"/>
                </w:rPr>
                <w:t>MN095772.1</w:t>
              </w:r>
            </w:hyperlink>
          </w:p>
        </w:tc>
        <w:tc>
          <w:tcPr>
            <w:tcW w:w="1134" w:type="dxa"/>
            <w:shd w:val="clear" w:color="auto" w:fill="auto"/>
            <w:vAlign w:val="center"/>
          </w:tcPr>
          <w:p w14:paraId="123EC12A" w14:textId="7208ABFA"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159,365</w:t>
            </w:r>
          </w:p>
        </w:tc>
        <w:tc>
          <w:tcPr>
            <w:tcW w:w="567" w:type="dxa"/>
            <w:shd w:val="clear" w:color="auto" w:fill="auto"/>
            <w:vAlign w:val="center"/>
          </w:tcPr>
          <w:p w14:paraId="0C851DAF"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54.1</w:t>
            </w:r>
          </w:p>
        </w:tc>
        <w:tc>
          <w:tcPr>
            <w:tcW w:w="1134" w:type="dxa"/>
            <w:shd w:val="clear" w:color="auto" w:fill="auto"/>
            <w:vAlign w:val="center"/>
          </w:tcPr>
          <w:p w14:paraId="69D0899B" w14:textId="77777777" w:rsidR="001A7FD4" w:rsidRPr="00056D5F" w:rsidRDefault="00C10232" w:rsidP="00964358">
            <w:pPr>
              <w:autoSpaceDE w:val="0"/>
              <w:autoSpaceDN w:val="0"/>
              <w:adjustRightInd w:val="0"/>
              <w:snapToGrid w:val="0"/>
              <w:jc w:val="center"/>
              <w:rPr>
                <w:rFonts w:ascii="Arial" w:hAnsi="Arial" w:cs="Arial"/>
                <w:sz w:val="20"/>
                <w:szCs w:val="28"/>
                <w:lang w:val="en-GB"/>
              </w:rPr>
            </w:pPr>
            <w:hyperlink r:id="rId14" w:anchor="!/proteins/85169/723986|Stenotrophomonas phage Moby/viral segment/" w:history="1">
              <w:r w:rsidR="001A7FD4" w:rsidRPr="00056D5F">
                <w:rPr>
                  <w:rFonts w:ascii="Arial" w:hAnsi="Arial" w:cs="Arial"/>
                  <w:sz w:val="20"/>
                  <w:szCs w:val="28"/>
                  <w:lang w:val="en-GB"/>
                </w:rPr>
                <w:t>2</w:t>
              </w:r>
            </w:hyperlink>
            <w:r w:rsidR="001A7FD4" w:rsidRPr="00056D5F">
              <w:rPr>
                <w:rFonts w:ascii="Arial" w:hAnsi="Arial" w:cs="Arial"/>
                <w:sz w:val="20"/>
                <w:szCs w:val="28"/>
                <w:lang w:val="en-GB"/>
              </w:rPr>
              <w:t>68 (271)</w:t>
            </w:r>
          </w:p>
        </w:tc>
        <w:tc>
          <w:tcPr>
            <w:tcW w:w="850" w:type="dxa"/>
            <w:shd w:val="clear" w:color="auto" w:fill="auto"/>
            <w:vAlign w:val="center"/>
          </w:tcPr>
          <w:p w14:paraId="003BE0A5"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94.02</w:t>
            </w:r>
          </w:p>
        </w:tc>
        <w:tc>
          <w:tcPr>
            <w:tcW w:w="2126" w:type="dxa"/>
            <w:shd w:val="clear" w:color="auto" w:fill="auto"/>
            <w:vAlign w:val="center"/>
          </w:tcPr>
          <w:p w14:paraId="08FE76C8" w14:textId="77777777" w:rsidR="001A7FD4" w:rsidRPr="00056D5F" w:rsidRDefault="001A7FD4" w:rsidP="00056D5F">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94.73/91.5</w:t>
            </w:r>
          </w:p>
        </w:tc>
        <w:tc>
          <w:tcPr>
            <w:tcW w:w="993" w:type="dxa"/>
            <w:shd w:val="clear" w:color="auto" w:fill="auto"/>
            <w:vAlign w:val="center"/>
          </w:tcPr>
          <w:p w14:paraId="251F8BFD" w14:textId="5045D162"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87.23</w:t>
            </w:r>
          </w:p>
        </w:tc>
        <w:tc>
          <w:tcPr>
            <w:tcW w:w="1025" w:type="dxa"/>
            <w:shd w:val="clear" w:color="auto" w:fill="auto"/>
            <w:vAlign w:val="center"/>
          </w:tcPr>
          <w:p w14:paraId="464A30D3"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215 (80.22)</w:t>
            </w:r>
          </w:p>
        </w:tc>
      </w:tr>
      <w:tr w:rsidR="001A7FD4" w:rsidRPr="00056D5F" w14:paraId="56DA5790" w14:textId="77777777" w:rsidTr="00995672">
        <w:trPr>
          <w:jc w:val="center"/>
        </w:trPr>
        <w:tc>
          <w:tcPr>
            <w:tcW w:w="1782" w:type="dxa"/>
            <w:shd w:val="clear" w:color="auto" w:fill="auto"/>
            <w:vAlign w:val="center"/>
          </w:tcPr>
          <w:p w14:paraId="575CF740" w14:textId="0EA78014"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YB07</w:t>
            </w:r>
          </w:p>
        </w:tc>
        <w:tc>
          <w:tcPr>
            <w:tcW w:w="1276" w:type="dxa"/>
          </w:tcPr>
          <w:p w14:paraId="256BCD0C" w14:textId="25D61EF8" w:rsidR="001A7FD4" w:rsidRPr="00056D5F" w:rsidRDefault="00C10232" w:rsidP="00964358">
            <w:pPr>
              <w:autoSpaceDE w:val="0"/>
              <w:autoSpaceDN w:val="0"/>
              <w:adjustRightInd w:val="0"/>
              <w:snapToGrid w:val="0"/>
              <w:jc w:val="center"/>
              <w:rPr>
                <w:rFonts w:ascii="Arial" w:hAnsi="Arial" w:cs="Arial"/>
                <w:sz w:val="20"/>
                <w:szCs w:val="28"/>
                <w:lang w:val="en-GB"/>
              </w:rPr>
            </w:pPr>
            <w:hyperlink r:id="rId15" w:history="1">
              <w:r w:rsidR="001A7FD4" w:rsidRPr="001A7FD4">
                <w:rPr>
                  <w:rStyle w:val="Hyperlink"/>
                  <w:rFonts w:ascii="Arial" w:hAnsi="Arial" w:cs="Arial"/>
                  <w:sz w:val="20"/>
                  <w:szCs w:val="28"/>
                </w:rPr>
                <w:t>MK580972.1</w:t>
              </w:r>
            </w:hyperlink>
          </w:p>
        </w:tc>
        <w:tc>
          <w:tcPr>
            <w:tcW w:w="1134" w:type="dxa"/>
            <w:shd w:val="clear" w:color="auto" w:fill="auto"/>
            <w:vAlign w:val="center"/>
          </w:tcPr>
          <w:p w14:paraId="24862F50" w14:textId="7CE983A2"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159,862</w:t>
            </w:r>
          </w:p>
        </w:tc>
        <w:tc>
          <w:tcPr>
            <w:tcW w:w="567" w:type="dxa"/>
            <w:shd w:val="clear" w:color="auto" w:fill="auto"/>
            <w:vAlign w:val="center"/>
          </w:tcPr>
          <w:p w14:paraId="4AD1DA77"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54.1</w:t>
            </w:r>
          </w:p>
        </w:tc>
        <w:tc>
          <w:tcPr>
            <w:tcW w:w="1134" w:type="dxa"/>
            <w:shd w:val="clear" w:color="auto" w:fill="auto"/>
            <w:vAlign w:val="center"/>
          </w:tcPr>
          <w:p w14:paraId="6FB6EF3A"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269 (257)</w:t>
            </w:r>
          </w:p>
        </w:tc>
        <w:tc>
          <w:tcPr>
            <w:tcW w:w="850" w:type="dxa"/>
            <w:shd w:val="clear" w:color="auto" w:fill="auto"/>
            <w:vAlign w:val="center"/>
          </w:tcPr>
          <w:p w14:paraId="580488C4"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93.85</w:t>
            </w:r>
          </w:p>
        </w:tc>
        <w:tc>
          <w:tcPr>
            <w:tcW w:w="2126" w:type="dxa"/>
            <w:shd w:val="clear" w:color="auto" w:fill="auto"/>
            <w:vAlign w:val="center"/>
          </w:tcPr>
          <w:p w14:paraId="2DC5C726" w14:textId="77777777" w:rsidR="001A7FD4" w:rsidRPr="00056D5F" w:rsidRDefault="001A7FD4" w:rsidP="00056D5F">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98.45/90.5</w:t>
            </w:r>
          </w:p>
        </w:tc>
        <w:tc>
          <w:tcPr>
            <w:tcW w:w="993" w:type="dxa"/>
            <w:shd w:val="clear" w:color="auto" w:fill="auto"/>
            <w:vAlign w:val="center"/>
          </w:tcPr>
          <w:p w14:paraId="1775B707" w14:textId="2468210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88.3</w:t>
            </w:r>
          </w:p>
        </w:tc>
        <w:tc>
          <w:tcPr>
            <w:tcW w:w="1025" w:type="dxa"/>
            <w:shd w:val="clear" w:color="auto" w:fill="auto"/>
            <w:vAlign w:val="center"/>
          </w:tcPr>
          <w:p w14:paraId="19FB4031" w14:textId="77777777" w:rsidR="001A7FD4" w:rsidRPr="00056D5F" w:rsidRDefault="001A7FD4" w:rsidP="00964358">
            <w:pPr>
              <w:autoSpaceDE w:val="0"/>
              <w:autoSpaceDN w:val="0"/>
              <w:adjustRightInd w:val="0"/>
              <w:snapToGrid w:val="0"/>
              <w:jc w:val="center"/>
              <w:rPr>
                <w:rFonts w:ascii="Arial" w:hAnsi="Arial" w:cs="Arial"/>
                <w:sz w:val="20"/>
                <w:szCs w:val="28"/>
                <w:lang w:val="en-GB"/>
              </w:rPr>
            </w:pPr>
            <w:r w:rsidRPr="00056D5F">
              <w:rPr>
                <w:rFonts w:ascii="Arial" w:hAnsi="Arial" w:cs="Arial"/>
                <w:sz w:val="20"/>
                <w:szCs w:val="28"/>
                <w:lang w:val="en-GB"/>
              </w:rPr>
              <w:t>220 (81.78)</w:t>
            </w:r>
          </w:p>
        </w:tc>
      </w:tr>
    </w:tbl>
    <w:bookmarkEnd w:id="0"/>
    <w:p w14:paraId="4988AF36" w14:textId="786F9299" w:rsidR="003A3946" w:rsidRPr="00866AE1" w:rsidRDefault="003A3946">
      <w:pPr>
        <w:rPr>
          <w:rFonts w:ascii="Arial" w:hAnsi="Arial" w:cs="Arial"/>
          <w:bCs/>
          <w:sz w:val="22"/>
          <w:szCs w:val="22"/>
        </w:rPr>
      </w:pPr>
      <w:r w:rsidRPr="003A3946">
        <w:rPr>
          <w:rFonts w:ascii="Arial" w:hAnsi="Arial" w:cs="Arial"/>
          <w:bCs/>
          <w:sz w:val="22"/>
          <w:szCs w:val="22"/>
          <w:vertAlign w:val="superscript"/>
        </w:rPr>
        <w:t>a</w:t>
      </w:r>
      <w:r w:rsidRPr="003A3946">
        <w:rPr>
          <w:rFonts w:ascii="Arial" w:hAnsi="Arial" w:cs="Arial"/>
          <w:bCs/>
          <w:sz w:val="22"/>
          <w:szCs w:val="22"/>
        </w:rPr>
        <w:t xml:space="preserve">: values from NCBI’s public genome annotations in parenthesis. </w:t>
      </w:r>
      <w:r w:rsidRPr="003A3946">
        <w:rPr>
          <w:rFonts w:ascii="Arial" w:hAnsi="Arial" w:cs="Arial"/>
          <w:bCs/>
          <w:iCs/>
          <w:sz w:val="22"/>
          <w:szCs w:val="22"/>
          <w:vertAlign w:val="superscript"/>
        </w:rPr>
        <w:t>b</w:t>
      </w:r>
      <w:r w:rsidRPr="003A3946">
        <w:rPr>
          <w:rFonts w:ascii="Arial" w:hAnsi="Arial" w:cs="Arial"/>
          <w:bCs/>
          <w:sz w:val="22"/>
          <w:szCs w:val="22"/>
        </w:rPr>
        <w:t>: based on genome vs. genome with blastn</w:t>
      </w:r>
      <w:r w:rsidR="00056D5F">
        <w:rPr>
          <w:rFonts w:ascii="Arial" w:hAnsi="Arial" w:cs="Arial"/>
          <w:bCs/>
          <w:sz w:val="22"/>
          <w:szCs w:val="22"/>
        </w:rPr>
        <w:t xml:space="preserve"> on NCBI’s website</w:t>
      </w:r>
      <w:r w:rsidRPr="003A3946">
        <w:rPr>
          <w:rFonts w:ascii="Arial" w:hAnsi="Arial" w:cs="Arial"/>
          <w:bCs/>
          <w:sz w:val="22"/>
          <w:szCs w:val="22"/>
        </w:rPr>
        <w:t>. The values indicate the average of reciprocal hits.</w:t>
      </w:r>
      <w:r w:rsidR="00AD4EC5">
        <w:rPr>
          <w:rFonts w:ascii="Arial" w:hAnsi="Arial" w:cs="Arial"/>
          <w:bCs/>
          <w:sz w:val="22"/>
          <w:szCs w:val="22"/>
        </w:rPr>
        <w:t xml:space="preserve"> Note all strains </w:t>
      </w:r>
      <w:r w:rsidR="00866AE1">
        <w:rPr>
          <w:rFonts w:ascii="Arial" w:hAnsi="Arial" w:cs="Arial"/>
          <w:bCs/>
          <w:sz w:val="22"/>
          <w:szCs w:val="22"/>
        </w:rPr>
        <w:t xml:space="preserve">are unique representatives of their species, </w:t>
      </w:r>
      <w:r w:rsidR="00AD4EC5">
        <w:rPr>
          <w:rFonts w:ascii="Arial" w:hAnsi="Arial" w:cs="Arial"/>
          <w:bCs/>
          <w:sz w:val="22"/>
          <w:szCs w:val="22"/>
        </w:rPr>
        <w:t>except BUCT608, and YB07</w:t>
      </w:r>
      <w:r w:rsidR="00866AE1">
        <w:rPr>
          <w:rFonts w:ascii="Arial" w:hAnsi="Arial" w:cs="Arial"/>
          <w:bCs/>
          <w:sz w:val="22"/>
          <w:szCs w:val="22"/>
        </w:rPr>
        <w:t xml:space="preserve">, which are strains of </w:t>
      </w:r>
      <w:r w:rsidR="00866AE1" w:rsidRPr="00866AE1">
        <w:rPr>
          <w:rFonts w:ascii="Arial" w:hAnsi="Arial" w:cs="Arial"/>
          <w:bCs/>
          <w:i/>
          <w:iCs/>
          <w:sz w:val="22"/>
          <w:szCs w:val="22"/>
        </w:rPr>
        <w:t>Stenotrophomonas virus IMESM1</w:t>
      </w:r>
      <w:r w:rsidR="00866AE1">
        <w:rPr>
          <w:rFonts w:ascii="Arial" w:hAnsi="Arial" w:cs="Arial"/>
          <w:bCs/>
          <w:sz w:val="22"/>
          <w:szCs w:val="22"/>
        </w:rPr>
        <w:t>.</w:t>
      </w:r>
    </w:p>
    <w:p w14:paraId="51663F6D" w14:textId="0163CAFC" w:rsidR="00A174CC" w:rsidRDefault="00A174CC">
      <w:pPr>
        <w:rPr>
          <w:rFonts w:ascii="Arial" w:hAnsi="Arial" w:cs="Arial"/>
          <w:b/>
          <w:sz w:val="22"/>
          <w:szCs w:val="22"/>
        </w:rPr>
      </w:pPr>
    </w:p>
    <w:p w14:paraId="6C6ED0B4" w14:textId="16AC0CEF" w:rsidR="008A302B" w:rsidRDefault="008A302B">
      <w:pPr>
        <w:rPr>
          <w:rFonts w:ascii="Arial" w:hAnsi="Arial" w:cs="Arial"/>
          <w:b/>
          <w:sz w:val="22"/>
          <w:szCs w:val="22"/>
        </w:rPr>
      </w:pPr>
      <w:r>
        <w:rPr>
          <w:rFonts w:ascii="Arial" w:hAnsi="Arial" w:cs="Arial"/>
          <w:b/>
          <w:sz w:val="22"/>
          <w:szCs w:val="22"/>
        </w:rPr>
        <w:br w:type="page"/>
      </w:r>
    </w:p>
    <w:p w14:paraId="497CEE3D" w14:textId="33B02999" w:rsidR="00A42136" w:rsidRPr="00A42136" w:rsidRDefault="00A42136" w:rsidP="00A42136">
      <w:pPr>
        <w:rPr>
          <w:rFonts w:ascii="Arial" w:hAnsi="Arial" w:cs="Arial"/>
          <w:bCs/>
          <w:sz w:val="22"/>
          <w:szCs w:val="22"/>
        </w:rPr>
      </w:pPr>
      <w:r w:rsidRPr="00A01033">
        <w:rPr>
          <w:rFonts w:ascii="Arial" w:hAnsi="Arial" w:cs="Arial"/>
          <w:b/>
          <w:sz w:val="22"/>
          <w:szCs w:val="22"/>
        </w:rPr>
        <w:lastRenderedPageBreak/>
        <w:t>Pangenomics:</w:t>
      </w:r>
      <w:r>
        <w:rPr>
          <w:rFonts w:ascii="Arial" w:hAnsi="Arial" w:cs="Arial"/>
          <w:b/>
          <w:sz w:val="22"/>
          <w:szCs w:val="22"/>
        </w:rPr>
        <w:t xml:space="preserve"> </w:t>
      </w:r>
      <w:r w:rsidRPr="00A42136">
        <w:rPr>
          <w:rFonts w:ascii="Arial" w:hAnsi="Arial" w:cs="Arial"/>
          <w:bCs/>
          <w:sz w:val="22"/>
          <w:szCs w:val="22"/>
        </w:rPr>
        <w:t xml:space="preserve">Pangenomic analysis was performed with Roary v3.13.0 </w:t>
      </w:r>
      <w:r>
        <w:rPr>
          <w:rFonts w:ascii="Arial" w:hAnsi="Arial" w:cs="Arial"/>
          <w:bCs/>
          <w:sz w:val="22"/>
          <w:szCs w:val="22"/>
        </w:rPr>
        <w:fldChar w:fldCharType="begin"/>
      </w:r>
      <w:r>
        <w:rPr>
          <w:rFonts w:ascii="Arial" w:hAnsi="Arial" w:cs="Arial"/>
          <w:bCs/>
          <w:sz w:val="22"/>
          <w:szCs w:val="22"/>
        </w:rPr>
        <w:instrText xml:space="preserve"> ADDIN ZOTERO_ITEM CSL_CITATION {"citationID":"KAkl58i7","properties":{"formattedCitation":"[2]","plainCitation":"[2]","noteIndex":0},"citationItems":[{"id":12927,"uris":["http://zotero.org/users/152779/items/U7C3U4GF"],"itemData":{"id":12927,"type":"article-journal","abstract":"Summary: A typical prokaryote population sequencing study can now consist of hundreds or thousands of isolates. Interrogating these datasets can provide detailed insights into the genetic structure of prokaryotic genomes. We introduce Roary, a tool that rapidly builds large-scale pan genomes, identifying the core and accessory genes. Roary makes construction of the pan genome of thousands of prokaryote samples possible on a standard desktop without compromising on the accuracy of results. Using a single CPU Roary can produce a pan genome consisting of 1000 isolates in 4.5 hours using 13 GB of RAM, with further speedups possible using multiple processors.Availability and implementation: Roary is implemented in Perl and is freely available under an open source GPLv3 license from http://sanger-pathogens.github.io/RoaryContact:roary@sanger.ac.ukSupplementary information:Supplementary data are available at Bioinformatics online.","container-title":"Bioinformatics","DOI":"10/ggbhmt","ISSN":"1367-4803","issue":"22","journalAbbreviation":"Bioinformatics","page":"3691-3693","source":"Silverchair","title":"Roary: rapid large-scale prokaryote pan genome analysis","title-short":"Roary","volume":"31","author":[{"family":"Page","given":"Andrew J."},{"family":"Cummins","given":"Carla A."},{"family":"Hunt","given":"Martin"},{"family":"Wong","given":"Vanessa K."},{"family":"Reuter","given":"Sandra"},{"family":"Holden","given":"Matthew T.G."},{"family":"Fookes","given":"Maria"},{"family":"Falush","given":"Daniel"},{"family":"Keane","given":"Jacqueline A."},{"family":"Parkhill","given":"Julian"}],"issued":{"date-parts":[["2015",11,15]]},"citation-key":"page_roary_2015"}}],"schema":"https://github.com/citation-style-language/schema/raw/master/csl-citation.json"} </w:instrText>
      </w:r>
      <w:r>
        <w:rPr>
          <w:rFonts w:ascii="Arial" w:hAnsi="Arial" w:cs="Arial"/>
          <w:bCs/>
          <w:sz w:val="22"/>
          <w:szCs w:val="22"/>
        </w:rPr>
        <w:fldChar w:fldCharType="separate"/>
      </w:r>
      <w:r w:rsidRPr="00A42136">
        <w:rPr>
          <w:rFonts w:ascii="Arial" w:hAnsi="Arial" w:cs="Arial"/>
          <w:sz w:val="22"/>
        </w:rPr>
        <w:t>[2]</w:t>
      </w:r>
      <w:r>
        <w:rPr>
          <w:rFonts w:ascii="Arial" w:hAnsi="Arial" w:cs="Arial"/>
          <w:bCs/>
          <w:sz w:val="22"/>
          <w:szCs w:val="22"/>
        </w:rPr>
        <w:fldChar w:fldCharType="end"/>
      </w:r>
      <w:r>
        <w:rPr>
          <w:rFonts w:ascii="Arial" w:hAnsi="Arial" w:cs="Arial"/>
          <w:bCs/>
          <w:sz w:val="22"/>
          <w:szCs w:val="22"/>
        </w:rPr>
        <w:t xml:space="preserve"> </w:t>
      </w:r>
      <w:r w:rsidRPr="00A42136">
        <w:rPr>
          <w:rFonts w:ascii="Arial" w:hAnsi="Arial" w:cs="Arial"/>
          <w:bCs/>
          <w:sz w:val="22"/>
          <w:szCs w:val="22"/>
        </w:rPr>
        <w:t>with an identity threshold of 70% to account for the large variability in viral gene sequences.</w:t>
      </w:r>
      <w:r w:rsidR="00866AE1">
        <w:rPr>
          <w:rFonts w:ascii="Arial" w:hAnsi="Arial" w:cs="Arial"/>
          <w:bCs/>
          <w:sz w:val="22"/>
          <w:szCs w:val="22"/>
        </w:rPr>
        <w:t xml:space="preserve"> The genome of </w:t>
      </w:r>
      <w:r w:rsidR="00995672">
        <w:rPr>
          <w:rFonts w:ascii="Arial" w:hAnsi="Arial" w:cs="Arial"/>
          <w:bCs/>
          <w:sz w:val="22"/>
          <w:szCs w:val="22"/>
        </w:rPr>
        <w:t>VB_SmaM_Ps15</w:t>
      </w:r>
      <w:r w:rsidR="00866AE1">
        <w:rPr>
          <w:rFonts w:ascii="Arial" w:hAnsi="Arial" w:cs="Arial"/>
          <w:bCs/>
          <w:sz w:val="22"/>
          <w:szCs w:val="22"/>
        </w:rPr>
        <w:t xml:space="preserve"> showed the largest number of unique proteins (51) and </w:t>
      </w:r>
      <w:r w:rsidR="00223841">
        <w:rPr>
          <w:rFonts w:ascii="Arial" w:hAnsi="Arial" w:cs="Arial"/>
          <w:bCs/>
          <w:sz w:val="22"/>
          <w:szCs w:val="22"/>
        </w:rPr>
        <w:t xml:space="preserve">some </w:t>
      </w:r>
      <w:r w:rsidR="00866AE1">
        <w:rPr>
          <w:rFonts w:ascii="Arial" w:hAnsi="Arial" w:cs="Arial"/>
          <w:bCs/>
          <w:sz w:val="22"/>
          <w:szCs w:val="22"/>
        </w:rPr>
        <w:t xml:space="preserve">proteins found in all other </w:t>
      </w:r>
      <w:r w:rsidR="00866AE1" w:rsidRPr="00866AE1">
        <w:rPr>
          <w:rFonts w:ascii="Arial" w:hAnsi="Arial" w:cs="Arial"/>
          <w:bCs/>
          <w:i/>
          <w:iCs/>
          <w:sz w:val="22"/>
          <w:szCs w:val="22"/>
        </w:rPr>
        <w:t>Menderavirus</w:t>
      </w:r>
      <w:r w:rsidR="00866AE1">
        <w:rPr>
          <w:rFonts w:ascii="Arial" w:hAnsi="Arial" w:cs="Arial"/>
          <w:bCs/>
          <w:sz w:val="22"/>
          <w:szCs w:val="22"/>
        </w:rPr>
        <w:t xml:space="preserve"> </w:t>
      </w:r>
      <w:r w:rsidR="00223841">
        <w:rPr>
          <w:rFonts w:ascii="Arial" w:hAnsi="Arial" w:cs="Arial"/>
          <w:bCs/>
          <w:sz w:val="22"/>
          <w:szCs w:val="22"/>
        </w:rPr>
        <w:t xml:space="preserve">were absent </w:t>
      </w:r>
      <w:r w:rsidR="00866AE1">
        <w:rPr>
          <w:rFonts w:ascii="Arial" w:hAnsi="Arial" w:cs="Arial"/>
          <w:bCs/>
          <w:sz w:val="22"/>
          <w:szCs w:val="22"/>
        </w:rPr>
        <w:t>(28).</w:t>
      </w:r>
    </w:p>
    <w:p w14:paraId="08088257" w14:textId="78748D00" w:rsidR="00A42136" w:rsidRDefault="00A42136">
      <w:pPr>
        <w:rPr>
          <w:rFonts w:ascii="Arial" w:hAnsi="Arial" w:cs="Arial"/>
          <w:b/>
          <w:sz w:val="22"/>
          <w:szCs w:val="22"/>
        </w:rPr>
      </w:pPr>
    </w:p>
    <w:p w14:paraId="2A523A54" w14:textId="0A5A8071" w:rsidR="00A42136" w:rsidRDefault="00A42136">
      <w:pPr>
        <w:rPr>
          <w:rFonts w:ascii="Arial" w:hAnsi="Arial" w:cs="Arial"/>
          <w:b/>
          <w:sz w:val="22"/>
          <w:szCs w:val="22"/>
        </w:rPr>
      </w:pPr>
      <w:r w:rsidRPr="00463CE2">
        <w:rPr>
          <w:noProof/>
          <w:lang w:val="en-GB"/>
        </w:rPr>
        <w:drawing>
          <wp:inline distT="0" distB="0" distL="0" distR="0" wp14:anchorId="4CFE2D2A" wp14:editId="4E17945A">
            <wp:extent cx="5727700" cy="3009900"/>
            <wp:effectExtent l="0" t="0" r="6350" b="0"/>
            <wp:docPr id="29" name="Picture 2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hist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3009900"/>
                    </a:xfrm>
                    <a:prstGeom prst="rect">
                      <a:avLst/>
                    </a:prstGeom>
                    <a:noFill/>
                    <a:ln>
                      <a:noFill/>
                    </a:ln>
                  </pic:spPr>
                </pic:pic>
              </a:graphicData>
            </a:graphic>
          </wp:inline>
        </w:drawing>
      </w:r>
    </w:p>
    <w:p w14:paraId="30FE20E0" w14:textId="77777777" w:rsidR="00A42136" w:rsidRPr="00A01033" w:rsidRDefault="00A42136">
      <w:pPr>
        <w:rPr>
          <w:rFonts w:ascii="Arial" w:hAnsi="Arial" w:cs="Arial"/>
          <w:b/>
          <w:sz w:val="22"/>
          <w:szCs w:val="22"/>
        </w:rPr>
      </w:pPr>
    </w:p>
    <w:p w14:paraId="5C8CDE7F" w14:textId="10A54150" w:rsidR="006F5F30" w:rsidRPr="00A01033" w:rsidRDefault="0089669F" w:rsidP="006F5F30">
      <w:pPr>
        <w:rPr>
          <w:rFonts w:ascii="Arial" w:hAnsi="Arial" w:cs="Arial"/>
          <w:bCs/>
          <w:sz w:val="22"/>
          <w:szCs w:val="22"/>
        </w:rPr>
      </w:pPr>
      <w:r w:rsidRPr="00A01033">
        <w:rPr>
          <w:rFonts w:ascii="Arial" w:hAnsi="Arial" w:cs="Arial"/>
          <w:b/>
          <w:sz w:val="22"/>
          <w:szCs w:val="22"/>
        </w:rPr>
        <w:t>Phylogeny:</w:t>
      </w:r>
      <w:r w:rsidR="00660CDB" w:rsidRPr="00A01033">
        <w:rPr>
          <w:rFonts w:ascii="Arial" w:hAnsi="Arial" w:cs="Arial"/>
          <w:b/>
          <w:sz w:val="22"/>
          <w:szCs w:val="22"/>
        </w:rPr>
        <w:t xml:space="preserve"> </w:t>
      </w:r>
      <w:r w:rsidR="00580207" w:rsidRPr="00A01033">
        <w:rPr>
          <w:rFonts w:ascii="Arial" w:hAnsi="Arial" w:cs="Arial"/>
          <w:bCs/>
          <w:sz w:val="22"/>
          <w:szCs w:val="22"/>
        </w:rPr>
        <w:t>Conf</w:t>
      </w:r>
      <w:r w:rsidR="00A01033">
        <w:rPr>
          <w:rFonts w:ascii="Arial" w:hAnsi="Arial" w:cs="Arial"/>
          <w:bCs/>
          <w:sz w:val="22"/>
          <w:szCs w:val="22"/>
        </w:rPr>
        <w:t xml:space="preserve">irmation of the placement of </w:t>
      </w:r>
      <w:r w:rsidR="00995672">
        <w:rPr>
          <w:rFonts w:ascii="Arial" w:hAnsi="Arial" w:cs="Arial"/>
          <w:bCs/>
          <w:sz w:val="22"/>
          <w:szCs w:val="22"/>
        </w:rPr>
        <w:t>VB_SmaM_Ps15</w:t>
      </w:r>
      <w:r w:rsidR="00A01033">
        <w:rPr>
          <w:rFonts w:ascii="Arial" w:hAnsi="Arial" w:cs="Arial"/>
          <w:bCs/>
          <w:sz w:val="22"/>
          <w:szCs w:val="22"/>
        </w:rPr>
        <w:t xml:space="preserve"> within </w:t>
      </w:r>
      <w:r w:rsidR="003A67B8">
        <w:rPr>
          <w:rFonts w:ascii="Arial" w:hAnsi="Arial" w:cs="Arial"/>
          <w:bCs/>
          <w:sz w:val="22"/>
          <w:szCs w:val="22"/>
        </w:rPr>
        <w:t xml:space="preserve">the </w:t>
      </w:r>
      <w:r w:rsidR="00A01033" w:rsidRPr="003A67B8">
        <w:rPr>
          <w:rFonts w:ascii="Arial" w:hAnsi="Arial" w:cs="Arial"/>
          <w:bCs/>
          <w:i/>
          <w:iCs/>
          <w:sz w:val="22"/>
          <w:szCs w:val="22"/>
        </w:rPr>
        <w:t>Menderavirus</w:t>
      </w:r>
      <w:r w:rsidR="003A67B8">
        <w:rPr>
          <w:rFonts w:ascii="Arial" w:hAnsi="Arial" w:cs="Arial"/>
          <w:bCs/>
          <w:sz w:val="22"/>
          <w:szCs w:val="22"/>
        </w:rPr>
        <w:t xml:space="preserve"> genus was performed with independent phylogenies of the major capsid protein and the large terminase subunit. The s</w:t>
      </w:r>
      <w:r w:rsidR="00660CDB" w:rsidRPr="00A01033">
        <w:rPr>
          <w:rFonts w:ascii="Arial" w:hAnsi="Arial" w:cs="Arial"/>
          <w:sz w:val="22"/>
          <w:szCs w:val="22"/>
          <w:lang w:val="en-GB"/>
        </w:rPr>
        <w:t xml:space="preserve">ingle protein trees were built using the top 100 UniProtKB matches against the respective </w:t>
      </w:r>
      <w:r w:rsidR="00995672">
        <w:rPr>
          <w:rFonts w:ascii="Arial" w:hAnsi="Arial" w:cs="Arial"/>
          <w:sz w:val="22"/>
          <w:szCs w:val="22"/>
          <w:lang w:val="en-GB"/>
        </w:rPr>
        <w:t>VB_SmaM_Ps15</w:t>
      </w:r>
      <w:r w:rsidR="00660CDB" w:rsidRPr="00A01033">
        <w:rPr>
          <w:rFonts w:ascii="Arial" w:hAnsi="Arial" w:cs="Arial"/>
          <w:sz w:val="22"/>
          <w:szCs w:val="22"/>
          <w:lang w:val="en-GB"/>
        </w:rPr>
        <w:t xml:space="preserve"> proteins (e-value 0.0001, low complexity regions filter). Matches were dereplicated using CD-Hit v4.8.1 </w:t>
      </w:r>
      <w:r w:rsidR="008E0FDD"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{"citationID":"cD0NOU5B","properties":{"formattedCitation":"[3]","plainCitation":"[3]","noteIndex":0},"citationItems":[{"id":275,"uris":["http://zotero.org/users/152779/items/7G57I9TM"],"itemData":{"id":275,"type":"article-journal","abstract":"Abstract.  Motivation: In 2001 and 2002, we published two papers (Bioinformatics, 17, 282–283, Bioinformatics, 18, 77–82) describing an ultrafast protein sequen","container-title":"Bioinformatics","DOI":"10/ct8g72","ISSN":"1367-4803","issue":"13","journalAbbreviation":"Bioinformatics","language":"en","page":"1658-1659","source":"academic.oup.com","title":"Cd-hit: a fast program for clustering and comparing large sets of protein or nucleotide sequences","title-short":"Cd-hit","volume":"22","author":[{"family":"Li","given":"Weizhong"},{"family":"Godzik","given":"Adam"}],"issued":{"date-parts":[["2006",7,1]]},"citation-key":"li_cd-hit:_2006"}}],"schema":"https://github.com/citation-style-language/schema/raw/master/csl-citation.json"} </w:instrText>
      </w:r>
      <w:r w:rsidR="008E0FDD" w:rsidRPr="00A01033">
        <w:rPr>
          <w:rFonts w:ascii="Arial" w:hAnsi="Arial" w:cs="Arial"/>
          <w:sz w:val="22"/>
          <w:szCs w:val="22"/>
          <w:lang w:val="en-GB"/>
        </w:rPr>
        <w:fldChar w:fldCharType="separate"/>
      </w:r>
      <w:r w:rsidR="00A42136" w:rsidRPr="00A42136">
        <w:rPr>
          <w:rFonts w:ascii="Arial" w:hAnsi="Arial" w:cs="Arial"/>
          <w:sz w:val="22"/>
        </w:rPr>
        <w:t>[3]</w:t>
      </w:r>
      <w:r w:rsidR="008E0FDD" w:rsidRPr="00A01033">
        <w:rPr>
          <w:rFonts w:ascii="Arial" w:hAnsi="Arial" w:cs="Arial"/>
          <w:sz w:val="22"/>
          <w:szCs w:val="22"/>
          <w:lang w:val="en-GB"/>
        </w:rPr>
        <w:fldChar w:fldCharType="end"/>
      </w:r>
      <w:r w:rsidR="00660CDB" w:rsidRPr="00A01033">
        <w:rPr>
          <w:rFonts w:ascii="Arial" w:hAnsi="Arial" w:cs="Arial"/>
          <w:sz w:val="22"/>
          <w:szCs w:val="22"/>
          <w:lang w:val="en-GB"/>
        </w:rPr>
        <w:t xml:space="preserve"> with the following parameters -s 0.95</w:t>
      </w:r>
      <w:r w:rsidR="006F5F30">
        <w:rPr>
          <w:rFonts w:ascii="Arial" w:hAnsi="Arial" w:cs="Arial"/>
          <w:sz w:val="22"/>
          <w:szCs w:val="22"/>
          <w:lang w:val="en-GB"/>
        </w:rPr>
        <w:t xml:space="preserve"> </w:t>
      </w:r>
      <w:r w:rsidR="00660CDB" w:rsidRPr="00A01033">
        <w:rPr>
          <w:rFonts w:ascii="Arial" w:hAnsi="Arial" w:cs="Arial"/>
          <w:sz w:val="22"/>
          <w:szCs w:val="22"/>
          <w:lang w:val="en-GB"/>
        </w:rPr>
        <w:t xml:space="preserve">-c 0.95. With the redundant sequences removed, all the corresponding </w:t>
      </w:r>
      <w:r w:rsidR="00660CDB" w:rsidRPr="00A01033">
        <w:rPr>
          <w:rFonts w:ascii="Arial" w:hAnsi="Arial" w:cs="Arial"/>
          <w:i/>
          <w:iCs/>
          <w:sz w:val="22"/>
          <w:szCs w:val="22"/>
          <w:lang w:val="en-GB"/>
        </w:rPr>
        <w:t>Menderavirus</w:t>
      </w:r>
      <w:r w:rsidR="00660CDB" w:rsidRPr="00A01033">
        <w:rPr>
          <w:rFonts w:ascii="Arial" w:hAnsi="Arial" w:cs="Arial"/>
          <w:sz w:val="22"/>
          <w:szCs w:val="22"/>
          <w:lang w:val="en-GB"/>
        </w:rPr>
        <w:t xml:space="preserve"> sequences were added. Alignment was performed with MAFFT-L-INS-i v7.475 </w:t>
      </w:r>
      <w:r w:rsidR="008E0FDD"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IhGyPhzj","properties":{"formattedCitation":"[4]","plainCitation":"[4]","noteIndex":0},"citationItems":[{"id":2908,"uris":["http://zotero.org/users/152779/items/IZ2XR3ET"],"itemData":{"id":2908,"type":"article-journal","container-title":"Bioinformatics","DOI":"10/gbrb3f","ISSN":"1367-4803","issue":"21","journalAbbreviation":"Bioinformatics","page":"3246-3251","source":"academic.oup.com","title":"Application of the MAFFT sequence alignment program to large data—reexamination of the usefulness of chained guide trees","volume":"32","author":[{"family":"Yamada","given":"Kazunori D."},{"family":"Tomii","given":"Kentaro"},{"family":"Katoh","given":"Kazutaka"}],"issued":{"date-parts":[["2016",11,1]]},"citation-key":"yamada_application_2016"}}],"schema":"https://github.com/citation-style-language/schema/raw/master/csl-citation.json"} </w:instrText>
      </w:r>
      <w:r w:rsidR="008E0FDD" w:rsidRPr="00A01033">
        <w:rPr>
          <w:rFonts w:ascii="Arial" w:hAnsi="Arial" w:cs="Arial"/>
          <w:sz w:val="22"/>
          <w:szCs w:val="22"/>
          <w:lang w:val="en-GB"/>
        </w:rPr>
        <w:fldChar w:fldCharType="separate"/>
      </w:r>
      <w:r w:rsidR="00A42136" w:rsidRPr="00A42136">
        <w:rPr>
          <w:rFonts w:ascii="Arial" w:hAnsi="Arial" w:cs="Arial"/>
          <w:sz w:val="22"/>
        </w:rPr>
        <w:t>[4]</w:t>
      </w:r>
      <w:r w:rsidR="008E0FDD" w:rsidRPr="00A01033">
        <w:rPr>
          <w:rFonts w:ascii="Arial" w:hAnsi="Arial" w:cs="Arial"/>
          <w:sz w:val="22"/>
          <w:szCs w:val="22"/>
          <w:lang w:val="en-GB"/>
        </w:rPr>
        <w:fldChar w:fldCharType="end"/>
      </w:r>
      <w:r w:rsidR="00660CDB" w:rsidRPr="00A01033">
        <w:rPr>
          <w:rFonts w:ascii="Arial" w:hAnsi="Arial" w:cs="Arial"/>
          <w:sz w:val="22"/>
          <w:szCs w:val="22"/>
          <w:lang w:val="en-GB"/>
        </w:rPr>
        <w:t xml:space="preserve">. Trees were built with IQ-TREE v2.1.3 </w:t>
      </w:r>
      <w:r w:rsidR="008E0FDD"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{"citationID":"W4wmFAx6","properties":{"formattedCitation":"[5]","plainCitation":"[5]","noteIndex":0},"citationItems":[{"id":12336,"uris":["http://zotero.org/users/152779/items/YE86VJC8"],"itemData":{"id":12336,"type":"article-journal","abstract":"IQ-TREE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software.","container-title":"Molecular Biology and Evolution","DOI":"10/ggkxzj","ISSN":"0737-4038","issue":"5","journalAbbreviation":"Mol Biol Evol","page":"1530-1534","source":"Silverchair","title":"IQ-TREE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D"},{"family":"Haeseler","given":"Arndt","non-dropping-particle":"von"},{"family":"Lanfear","given":"Robert"}],"issued":{"date-parts":[["2020",5,1]]},"citation-key":"minh_iq-tree_2020"}}],"schema":"https://github.com/citation-style-language/schema/raw/master/csl-citation.json"} </w:instrText>
      </w:r>
      <w:r w:rsidR="008E0FDD" w:rsidRPr="00A01033">
        <w:rPr>
          <w:rFonts w:ascii="Arial" w:hAnsi="Arial" w:cs="Arial"/>
          <w:sz w:val="22"/>
          <w:szCs w:val="22"/>
          <w:lang w:val="en-GB"/>
        </w:rPr>
        <w:fldChar w:fldCharType="separate"/>
      </w:r>
      <w:r w:rsidR="00A42136" w:rsidRPr="00A42136">
        <w:rPr>
          <w:rFonts w:ascii="Arial" w:hAnsi="Arial" w:cs="Arial"/>
          <w:sz w:val="22"/>
        </w:rPr>
        <w:t>[5]</w:t>
      </w:r>
      <w:r w:rsidR="008E0FDD" w:rsidRPr="00A01033">
        <w:rPr>
          <w:rFonts w:ascii="Arial" w:hAnsi="Arial" w:cs="Arial"/>
          <w:sz w:val="22"/>
          <w:szCs w:val="22"/>
          <w:lang w:val="en-GB"/>
        </w:rPr>
        <w:fldChar w:fldCharType="end"/>
      </w:r>
      <w:r w:rsidR="008E0FDD" w:rsidRPr="00A01033">
        <w:rPr>
          <w:rFonts w:ascii="Arial" w:hAnsi="Arial" w:cs="Arial"/>
          <w:sz w:val="22"/>
          <w:szCs w:val="22"/>
          <w:lang w:val="en-GB"/>
        </w:rPr>
        <w:t xml:space="preserve"> </w:t>
      </w:r>
      <w:r w:rsidR="00660CDB" w:rsidRPr="00A01033">
        <w:rPr>
          <w:rFonts w:ascii="Arial" w:hAnsi="Arial" w:cs="Arial"/>
          <w:sz w:val="22"/>
          <w:szCs w:val="22"/>
          <w:lang w:val="en-GB"/>
        </w:rPr>
        <w:t>under the recommended substitution model (-m MFP), with 1000 ultrafast bootstrap replicates</w:t>
      </w:r>
      <w:r w:rsidR="006F5F30">
        <w:rPr>
          <w:rFonts w:ascii="Arial" w:hAnsi="Arial" w:cs="Arial"/>
          <w:sz w:val="22"/>
          <w:szCs w:val="22"/>
          <w:lang w:val="en-GB"/>
        </w:rPr>
        <w:t xml:space="preserve"> </w:t>
      </w:r>
      <w:r w:rsidR="00660CDB" w:rsidRPr="00A01033">
        <w:rPr>
          <w:rFonts w:ascii="Arial" w:hAnsi="Arial" w:cs="Arial"/>
          <w:sz w:val="22"/>
          <w:szCs w:val="22"/>
          <w:lang w:val="en-GB"/>
        </w:rPr>
        <w:t xml:space="preserve"> and nearest neighbour interchange optimisation </w:t>
      </w:r>
      <w:r w:rsidR="008E0FDD"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{"citationID":"RfmM7UXe","properties":{"formattedCitation":"[6]","plainCitation":"[6]","noteIndex":0},"citationItems":[{"id":12335,"uris":["http://zotero.org/users/152779/items/8G9RMKW4"],"itemData":{"id":12335,"type":"article-journal","abstract":"The standard bootstrap (SBS), despite being computationally intensive, is widely used in maximum likelihood phylogenetic analyses. We recently proposed the ultrafast bootstrap approximation (UFBoot) to reduce computing time while achieving more unbiased branch supports than SBS under mild model violations. UFBoot has been steadily adopted as an efficient alternative to SBS and other bootstrap approaches. Here, we present UFBoot2, which substantially accelerates UFBoot and reduces the risk of overestimating branch supports due to polytomies or severe model violations. Additionally, UFBoot2 provides suitable bootstrap resampling strategies for phylogenomic data. UFBoot2 is 778 times (median) faster than SBS and 8.4 times (median) faster than RAxML rapid bootstrap on tested data sets. UFBoot2 is implemented in the IQ-TREE software package version 1.6 and freely available at http://www.iqtree.org.","container-title":"Molecular Biology and Evolution","DOI":"10/gcxrqg","ISSN":"0737-4038","issue":"2","journalAbbreviation":"Mol Biol Evol","page":"518-522","source":"Silverchair","title":"UFBoot2: Improving the Ultrafast Bootstrap Approximation","title-short":"UFBoot2","volume":"35","author":[{"family":"Hoang","given":"Diep Thi"},{"family":"Chernomor","given":"Olga"},{"family":"Haeseler","given":"Arndt","non-dropping-particle":"von"},{"family":"Minh","given":"Bui Quang"},{"family":"Vinh","given":"Le Sy"}],"issued":{"date-parts":[["2018",2,1]]},"citation-key":"hoang_ufboot2_2018"}}],"schema":"https://github.com/citation-style-language/schema/raw/master/csl-citation.json"} </w:instrText>
      </w:r>
      <w:r w:rsidR="008E0FDD" w:rsidRPr="00A01033">
        <w:rPr>
          <w:rFonts w:ascii="Arial" w:hAnsi="Arial" w:cs="Arial"/>
          <w:sz w:val="22"/>
          <w:szCs w:val="22"/>
          <w:lang w:val="en-GB"/>
        </w:rPr>
        <w:fldChar w:fldCharType="separate"/>
      </w:r>
      <w:r w:rsidR="00A42136" w:rsidRPr="00A42136">
        <w:rPr>
          <w:rFonts w:ascii="Arial" w:hAnsi="Arial" w:cs="Arial"/>
          <w:sz w:val="22"/>
        </w:rPr>
        <w:t>[6]</w:t>
      </w:r>
      <w:r w:rsidR="008E0FDD" w:rsidRPr="00A01033">
        <w:rPr>
          <w:rFonts w:ascii="Arial" w:hAnsi="Arial" w:cs="Arial"/>
          <w:sz w:val="22"/>
          <w:szCs w:val="22"/>
          <w:lang w:val="en-GB"/>
        </w:rPr>
        <w:fldChar w:fldCharType="end"/>
      </w:r>
      <w:r w:rsidR="00660CDB" w:rsidRPr="00A01033">
        <w:rPr>
          <w:rFonts w:ascii="Arial" w:hAnsi="Arial" w:cs="Arial"/>
          <w:sz w:val="22"/>
          <w:szCs w:val="22"/>
          <w:lang w:val="en-GB"/>
        </w:rPr>
        <w:t>.</w:t>
      </w:r>
      <w:r w:rsidR="006F5F30" w:rsidRPr="00A01033">
        <w:rPr>
          <w:rFonts w:ascii="Arial" w:hAnsi="Arial" w:cs="Arial"/>
          <w:sz w:val="22"/>
          <w:szCs w:val="22"/>
          <w:lang w:val="en-GB"/>
        </w:rPr>
        <w:t xml:space="preserve"> Rooting of the phylogenetic trees was evaluated using non-reversible substitution models </w:t>
      </w:r>
      <w:r w:rsidR="006F5F30"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{"citationID":"Y9NRC9YN","properties":{"formattedCitation":"[7]","plainCitation":"[7]","noteIndex":0},"citationItems":[{"id":12930,"uris":["http://zotero.org/users/152779/items/LHB8KCUW"],"itemData":{"id":12930,"type":"article-journal","abstract":"Using time-reversible Markov models is a very common practice in phylogenetic analysis, because although we expect many of their assumptions to be violated by empirical data, they provide high computational efficiency. However, these models lack the ability to infer the root placement of the estimated phylogeny. In order to compensate for the inability of these models to root the tree, many researchers use external information such as using outgroup taxa or additional assumptions such as molecular clocks. In this study, we investigate the utility of nonreversible models to root empirical phylogenies and introduce a new bootstrap measure, the rootstrap, which provides information on the statistical support for any given root position. [Bootstrap; nonreversible models; phylogenetic inference; root estimation.]","container-title":"Systematic Biology","DOI":"10/gmkzg3","ISSN":"1063-5157","issue":"syab067","journalAbbreviation":"Syst Biol","source":"Silverchair","title":"Assessing Confidence in Root Placement on Phylogenies: An Empirical Study Using Nonreversible Models for Mammals","title-short":"Assessing Confidence in Root Placement on Phylogenies","URL":"https://doi.org/10.1093/sysbio/syab067","author":[{"family":"Naser-Khdour","given":"Suha"},{"family":"Quang Minh","given":"Bui"},{"family":"Lanfear","given":"Robert"}],"accessed":{"date-parts":[["2021",10,12]]},"issued":{"date-parts":[["2021",8,13]]},"citation-key":"naser-khdour_assessing_2021"}}],"schema":"https://github.com/citation-style-language/schema/raw/master/csl-citation.json"} </w:instrText>
      </w:r>
      <w:r w:rsidR="006F5F30" w:rsidRPr="00A01033">
        <w:rPr>
          <w:rFonts w:ascii="Arial" w:hAnsi="Arial" w:cs="Arial"/>
          <w:sz w:val="22"/>
          <w:szCs w:val="22"/>
          <w:lang w:val="en-GB"/>
        </w:rPr>
        <w:fldChar w:fldCharType="separate"/>
      </w:r>
      <w:r w:rsidR="00A42136" w:rsidRPr="00A42136">
        <w:rPr>
          <w:rFonts w:ascii="Arial" w:hAnsi="Arial" w:cs="Arial"/>
          <w:sz w:val="22"/>
        </w:rPr>
        <w:t>[7]</w:t>
      </w:r>
      <w:r w:rsidR="006F5F30" w:rsidRPr="00A01033">
        <w:rPr>
          <w:rFonts w:ascii="Arial" w:hAnsi="Arial" w:cs="Arial"/>
          <w:sz w:val="22"/>
          <w:szCs w:val="22"/>
          <w:lang w:val="en-GB"/>
        </w:rPr>
        <w:fldChar w:fldCharType="end"/>
      </w:r>
      <w:r w:rsidR="006F5F30" w:rsidRPr="00A01033">
        <w:rPr>
          <w:rFonts w:ascii="Arial" w:hAnsi="Arial" w:cs="Arial"/>
          <w:sz w:val="22"/>
          <w:szCs w:val="22"/>
          <w:lang w:val="en-GB"/>
        </w:rPr>
        <w:t xml:space="preserve"> using IQ-TREE v2.1.3 </w:t>
      </w:r>
      <w:r w:rsidR="006F5F30"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{"citationID":"QKbG95Vj","properties":{"formattedCitation":"[5]","plainCitation":"[5]","noteIndex":0},"citationItems":[{"id":12336,"uris":["http://zotero.org/users/152779/items/YE86VJC8"],"itemData":{"id":12336,"type":"article-journal","abstract":"IQ-TREE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software.","container-title":"Molecular Biology and Evolution","DOI":"10/ggkxzj","ISSN":"0737-4038","issue":"5","journalAbbreviation":"Mol Biol Evol","page":"1530-1534","source":"Silverchair","title":"IQ-TREE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D"},{"family":"Haeseler","given":"Arndt","non-dropping-particle":"von"},{"family":"Lanfear","given":"Robert"}],"issued":{"date-parts":[["2020",5,1]]},"citation-key":"minh_iq-tree_2020"}}],"schema":"https://github.com/citation-style-language/schema/raw/master/csl-citation.json"} </w:instrText>
      </w:r>
      <w:r w:rsidR="006F5F30" w:rsidRPr="00A01033">
        <w:rPr>
          <w:rFonts w:ascii="Arial" w:hAnsi="Arial" w:cs="Arial"/>
          <w:sz w:val="22"/>
          <w:szCs w:val="22"/>
          <w:lang w:val="en-GB"/>
        </w:rPr>
        <w:fldChar w:fldCharType="separate"/>
      </w:r>
      <w:r w:rsidR="00A42136" w:rsidRPr="00A42136">
        <w:rPr>
          <w:rFonts w:ascii="Arial" w:hAnsi="Arial" w:cs="Arial"/>
          <w:sz w:val="22"/>
        </w:rPr>
        <w:t>[5]</w:t>
      </w:r>
      <w:r w:rsidR="006F5F30" w:rsidRPr="00A01033">
        <w:rPr>
          <w:rFonts w:ascii="Arial" w:hAnsi="Arial" w:cs="Arial"/>
          <w:sz w:val="22"/>
          <w:szCs w:val="22"/>
          <w:lang w:val="en-GB"/>
        </w:rPr>
        <w:fldChar w:fldCharType="end"/>
      </w:r>
      <w:r w:rsidR="006F5F30" w:rsidRPr="00A01033">
        <w:rPr>
          <w:rFonts w:ascii="Arial" w:hAnsi="Arial" w:cs="Arial"/>
          <w:sz w:val="22"/>
          <w:szCs w:val="22"/>
          <w:lang w:val="en-GB"/>
        </w:rPr>
        <w:t xml:space="preserve"> with 1000 ultrafast bootstrap replicates (referred to as rootstrapping) </w:t>
      </w:r>
      <w:r w:rsidR="006F5F30"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{"citationID":"IfC8q7n1","properties":{"formattedCitation":"[7]","plainCitation":"[7]","noteIndex":0},"citationItems":[{"id":12930,"uris":["http://zotero.org/users/152779/items/LHB8KCUW"],"itemData":{"id":12930,"type":"article-journal","abstract":"Using time-reversible Markov models is a very common practice in phylogenetic analysis, because although we expect many of their assumptions to be violated by empirical data, they provide high computational efficiency. However, these models lack the ability to infer the root placement of the estimated phylogeny. In order to compensate for the inability of these models to root the tree, many researchers use external information such as using outgroup taxa or additional assumptions such as molecular clocks. In this study, we investigate the utility of nonreversible models to root empirical phylogenies and introduce a new bootstrap measure, the rootstrap, which provides information on the statistical support for any given root position. [Bootstrap; nonreversible models; phylogenetic inference; root estimation.]","container-title":"Systematic Biology","DOI":"10/gmkzg3","ISSN":"1063-5157","issue":"syab067","journalAbbreviation":"Syst Biol","source":"Silverchair","title":"Assessing Confidence in Root Placement on Phylogenies: An Empirical Study Using Nonreversible Models for Mammals","title-short":"Assessing Confidence in Root Placement on Phylogenies","URL":"https://doi.org/10.1093/sysbio/syab067","author":[{"family":"Naser-Khdour","given":"Suha"},{"family":"Quang Minh","given":"Bui"},{"family":"Lanfear","given":"Robert"}],"accessed":{"date-parts":[["2021",10,12]]},"issued":{"date-parts":[["2021",8,13]]},"citation-key":"naser-khdour_assessing_2021"}}],"schema":"https://github.com/citation-style-language/schema/raw/master/csl-citation.json"} </w:instrText>
      </w:r>
      <w:r w:rsidR="006F5F30" w:rsidRPr="00A01033">
        <w:rPr>
          <w:rFonts w:ascii="Arial" w:hAnsi="Arial" w:cs="Arial"/>
          <w:sz w:val="22"/>
          <w:szCs w:val="22"/>
          <w:lang w:val="en-GB"/>
        </w:rPr>
        <w:fldChar w:fldCharType="separate"/>
      </w:r>
      <w:r w:rsidR="00A42136" w:rsidRPr="00A42136">
        <w:rPr>
          <w:rFonts w:ascii="Arial" w:hAnsi="Arial" w:cs="Arial"/>
          <w:sz w:val="22"/>
        </w:rPr>
        <w:t>[7]</w:t>
      </w:r>
      <w:r w:rsidR="006F5F30" w:rsidRPr="00A01033">
        <w:rPr>
          <w:rFonts w:ascii="Arial" w:hAnsi="Arial" w:cs="Arial"/>
          <w:sz w:val="22"/>
          <w:szCs w:val="22"/>
          <w:lang w:val="en-GB"/>
        </w:rPr>
        <w:fldChar w:fldCharType="end"/>
      </w:r>
      <w:r w:rsidR="006F5F30" w:rsidRPr="00A01033">
        <w:rPr>
          <w:rFonts w:ascii="Arial" w:hAnsi="Arial" w:cs="Arial"/>
          <w:sz w:val="22"/>
          <w:szCs w:val="22"/>
          <w:lang w:val="en-GB"/>
        </w:rPr>
        <w:t>.</w:t>
      </w:r>
    </w:p>
    <w:p w14:paraId="09C56CC2" w14:textId="23408D26" w:rsidR="003A67B8" w:rsidRDefault="003A67B8">
      <w:pPr>
        <w:rPr>
          <w:rFonts w:ascii="Arial" w:hAnsi="Arial" w:cs="Arial"/>
          <w:sz w:val="22"/>
          <w:szCs w:val="22"/>
          <w:lang w:val="en-GB"/>
        </w:rPr>
      </w:pPr>
    </w:p>
    <w:p w14:paraId="5A9C2A6A" w14:textId="3B45B726" w:rsidR="00A174CC" w:rsidRPr="00A01033" w:rsidRDefault="003A67B8">
      <w:pPr>
        <w:rPr>
          <w:rFonts w:ascii="Arial" w:hAnsi="Arial" w:cs="Arial"/>
          <w:bCs/>
          <w:sz w:val="22"/>
          <w:szCs w:val="22"/>
        </w:rPr>
      </w:pPr>
      <w:r>
        <w:rPr>
          <w:rFonts w:ascii="Arial" w:hAnsi="Arial" w:cs="Arial"/>
          <w:sz w:val="22"/>
          <w:szCs w:val="22"/>
          <w:lang w:val="en-GB"/>
        </w:rPr>
        <w:t xml:space="preserve">Placement within the </w:t>
      </w:r>
      <w:r w:rsidRPr="00E31158">
        <w:rPr>
          <w:rFonts w:ascii="Arial" w:hAnsi="Arial" w:cs="Arial"/>
          <w:i/>
          <w:iCs/>
          <w:sz w:val="22"/>
          <w:szCs w:val="22"/>
          <w:lang w:val="en-GB"/>
        </w:rPr>
        <w:t>Menderavirus</w:t>
      </w:r>
      <w:r>
        <w:rPr>
          <w:rFonts w:ascii="Arial" w:hAnsi="Arial" w:cs="Arial"/>
          <w:sz w:val="22"/>
          <w:szCs w:val="22"/>
          <w:lang w:val="en-GB"/>
        </w:rPr>
        <w:t xml:space="preserve"> genus was evaluated using a partitioned protein tree using all the p</w:t>
      </w:r>
      <w:r w:rsidRPr="003A67B8">
        <w:rPr>
          <w:rFonts w:ascii="Arial" w:hAnsi="Arial" w:cs="Arial"/>
          <w:sz w:val="22"/>
          <w:szCs w:val="22"/>
          <w:lang w:val="en-GB"/>
        </w:rPr>
        <w:t xml:space="preserve">rotein coding genes present in all </w:t>
      </w:r>
      <w:r w:rsidR="006F5F30" w:rsidRPr="006F5F30">
        <w:rPr>
          <w:rFonts w:ascii="Arial" w:hAnsi="Arial" w:cs="Arial"/>
          <w:i/>
          <w:iCs/>
          <w:sz w:val="22"/>
          <w:szCs w:val="22"/>
          <w:lang w:val="en-GB"/>
        </w:rPr>
        <w:t>Menderavirus</w:t>
      </w:r>
      <w:r w:rsidR="006F5F30">
        <w:rPr>
          <w:rFonts w:ascii="Arial" w:hAnsi="Arial" w:cs="Arial"/>
          <w:sz w:val="22"/>
          <w:szCs w:val="22"/>
          <w:lang w:val="en-GB"/>
        </w:rPr>
        <w:t xml:space="preserve"> </w:t>
      </w:r>
      <w:r w:rsidRPr="003A67B8">
        <w:rPr>
          <w:rFonts w:ascii="Arial" w:hAnsi="Arial" w:cs="Arial"/>
          <w:sz w:val="22"/>
          <w:szCs w:val="22"/>
          <w:lang w:val="en-GB"/>
        </w:rPr>
        <w:t>genomes (188)</w:t>
      </w:r>
      <w:r w:rsidR="006F5F30">
        <w:rPr>
          <w:rFonts w:ascii="Arial" w:hAnsi="Arial" w:cs="Arial"/>
          <w:sz w:val="22"/>
          <w:szCs w:val="22"/>
          <w:lang w:val="en-GB"/>
        </w:rPr>
        <w:t xml:space="preserve">. The proteins were </w:t>
      </w:r>
      <w:r w:rsidRPr="003A67B8">
        <w:rPr>
          <w:rFonts w:ascii="Arial" w:hAnsi="Arial" w:cs="Arial"/>
          <w:sz w:val="22"/>
          <w:szCs w:val="22"/>
          <w:lang w:val="en-GB"/>
        </w:rPr>
        <w:t xml:space="preserve">aligned with MAFFT-L-INS-i v7.475 </w:t>
      </w:r>
      <w:r w:rsidR="006F5F30">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SnrsDJyx","properties":{"formattedCitation":"[4]","plainCitation":"[4]","noteIndex":0},"citationItems":[{"id":2908,"uris":["http://zotero.org/users/152779/items/IZ2XR3ET"],"itemData":{"id":2908,"type":"article-journal","container-title":"Bioinformatics","DOI":"10/gbrb3f","ISSN":"1367-4803","issue":"21","journalAbbreviation":"Bioinformatics","page":"3246-3251","source":"academic.oup.com","title":"Application of the MAFFT sequence alignment program to large data—reexamination of the usefulness of chained guide trees","volume":"32","author":[{"family":"Yamada","given":"Kazunori D."},{"family":"Tomii","given":"Kentaro"},{"family":"Katoh","given":"Kazutaka"}],"issued":{"date-parts":[["2016",11,1]]},"citation-key":"yamada_application_2016"}}],"schema":"https://github.com/citation-style-language/schema/raw/master/csl-citation.json"} </w:instrText>
      </w:r>
      <w:r w:rsidR="006F5F30">
        <w:rPr>
          <w:rFonts w:ascii="Arial" w:hAnsi="Arial" w:cs="Arial"/>
          <w:sz w:val="22"/>
          <w:szCs w:val="22"/>
          <w:lang w:val="en-GB"/>
        </w:rPr>
        <w:fldChar w:fldCharType="separate"/>
      </w:r>
      <w:r w:rsidR="00A42136" w:rsidRPr="00A42136">
        <w:rPr>
          <w:rFonts w:ascii="Arial" w:hAnsi="Arial" w:cs="Arial"/>
          <w:sz w:val="22"/>
        </w:rPr>
        <w:t>[4]</w:t>
      </w:r>
      <w:r w:rsidR="006F5F30">
        <w:rPr>
          <w:rFonts w:ascii="Arial" w:hAnsi="Arial" w:cs="Arial"/>
          <w:sz w:val="22"/>
          <w:szCs w:val="22"/>
          <w:lang w:val="en-GB"/>
        </w:rPr>
        <w:fldChar w:fldCharType="end"/>
      </w:r>
      <w:r w:rsidR="006F5F30">
        <w:rPr>
          <w:rFonts w:ascii="Arial" w:hAnsi="Arial" w:cs="Arial"/>
          <w:sz w:val="22"/>
          <w:szCs w:val="22"/>
          <w:lang w:val="en-GB"/>
        </w:rPr>
        <w:t xml:space="preserve"> </w:t>
      </w:r>
      <w:r w:rsidRPr="003A67B8">
        <w:rPr>
          <w:rFonts w:ascii="Arial" w:hAnsi="Arial" w:cs="Arial"/>
          <w:sz w:val="22"/>
          <w:szCs w:val="22"/>
          <w:lang w:val="en-GB"/>
        </w:rPr>
        <w:t>and concatenated. A maximum likelihood tree was constructed with IQ-TREE v2.1.4-beta</w:t>
      </w:r>
      <w:r w:rsidR="006F5F30" w:rsidRPr="00A01033">
        <w:rPr>
          <w:rFonts w:ascii="Arial" w:hAnsi="Arial" w:cs="Arial"/>
          <w:sz w:val="22"/>
          <w:szCs w:val="22"/>
          <w:lang w:val="en-GB"/>
        </w:rPr>
        <w:t xml:space="preserve"> </w:t>
      </w:r>
      <w:r w:rsidR="006F5F30"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{"citationID":"lpeXjaKa","properties":{"formattedCitation":"[5]","plainCitation":"[5]","noteIndex":0},"citationItems":[{"id":12336,"uris":["http://zotero.org/users/152779/items/YE86VJC8"],"itemData":{"id":12336,"type":"article-journal","abstract":"IQ-TREE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software.","container-title":"Molecular Biology and Evolution","DOI":"10/ggkxzj","ISSN":"0737-4038","issue":"5","journalAbbreviation":"Mol Biol Evol","page":"1530-1534","source":"Silverchair","title":"IQ-TREE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D"},{"family":"Haeseler","given":"Arndt","non-dropping-particle":"von"},{"family":"Lanfear","given":"Robert"}],"issued":{"date-parts":[["2020",5,1]]},"citation-key":"minh_iq-tree_2020"}}],"schema":"https://github.com/citation-style-language/schema/raw/master/csl-citation.json"} </w:instrText>
      </w:r>
      <w:r w:rsidR="006F5F30" w:rsidRPr="00A01033">
        <w:rPr>
          <w:rFonts w:ascii="Arial" w:hAnsi="Arial" w:cs="Arial"/>
          <w:sz w:val="22"/>
          <w:szCs w:val="22"/>
          <w:lang w:val="en-GB"/>
        </w:rPr>
        <w:fldChar w:fldCharType="separate"/>
      </w:r>
      <w:r w:rsidR="00A42136" w:rsidRPr="00A42136">
        <w:rPr>
          <w:rFonts w:ascii="Arial" w:hAnsi="Arial" w:cs="Arial"/>
          <w:sz w:val="22"/>
        </w:rPr>
        <w:t>[5]</w:t>
      </w:r>
      <w:r w:rsidR="006F5F30" w:rsidRPr="00A01033">
        <w:rPr>
          <w:rFonts w:ascii="Arial" w:hAnsi="Arial" w:cs="Arial"/>
          <w:sz w:val="22"/>
          <w:szCs w:val="22"/>
          <w:lang w:val="en-GB"/>
        </w:rPr>
        <w:fldChar w:fldCharType="end"/>
      </w:r>
      <w:r w:rsidR="006F5F30" w:rsidRPr="00A01033">
        <w:rPr>
          <w:rFonts w:ascii="Arial" w:hAnsi="Arial" w:cs="Arial"/>
          <w:sz w:val="22"/>
          <w:szCs w:val="22"/>
          <w:lang w:val="en-GB"/>
        </w:rPr>
        <w:t xml:space="preserve"> </w:t>
      </w:r>
      <w:r w:rsidRPr="003A67B8">
        <w:rPr>
          <w:rFonts w:ascii="Arial" w:hAnsi="Arial" w:cs="Arial"/>
          <w:sz w:val="22"/>
          <w:szCs w:val="22"/>
          <w:lang w:val="en-GB"/>
        </w:rPr>
        <w:t>with 1000 ultrafast bootstrap replicates</w:t>
      </w:r>
      <w:r w:rsidR="006F5F30" w:rsidRPr="00A01033">
        <w:rPr>
          <w:rFonts w:ascii="Arial" w:hAnsi="Arial" w:cs="Arial"/>
          <w:sz w:val="22"/>
          <w:szCs w:val="22"/>
          <w:lang w:val="en-GB"/>
        </w:rPr>
        <w:t xml:space="preserve"> </w:t>
      </w:r>
      <w:r w:rsidR="006F5F30"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{"citationID":"eW0cpcvg","properties":{"formattedCitation":"[6]","plainCitation":"[6]","noteIndex":0},"citationItems":[{"id":12335,"uris":["http://zotero.org/users/152779/items/8G9RMKW4"],"itemData":{"id":12335,"type":"article-journal","abstract":"The standard bootstrap (SBS), despite being computationally intensive, is widely used in maximum likelihood phylogenetic analyses. We recently proposed the ultrafast bootstrap approximation (UFBoot) to reduce computing time while achieving more unbiased branch supports than SBS under mild model violations. UFBoot has been steadily adopted as an efficient alternative to SBS and other bootstrap approaches. Here, we present UFBoot2, which substantially accelerates UFBoot and reduces the risk of overestimating branch supports due to polytomies or severe model violations. Additionally, UFBoot2 provides suitable bootstrap resampling strategies for phylogenomic data. UFBoot2 is 778 times (median) faster than SBS and 8.4 times (median) faster than RAxML rapid bootstrap on tested data sets. UFBoot2 is implemented in the IQ-TREE software package version 1.6 and freely available at http://www.iqtree.org.","container-title":"Molecular Biology and Evolution","DOI":"10/gcxrqg","ISSN":"0737-4038","issue":"2","journalAbbreviation":"Mol Biol Evol","page":"518-522","source":"Silverchair","title":"UFBoot2: Improving the Ultrafast Bootstrap Approximation","title-short":"UFBoot2","volume":"35","author":[{"family":"Hoang","given":"Diep Thi"},{"family":"Chernomor","given":"Olga"},{"family":"Haeseler","given":"Arndt","non-dropping-particle":"von"},{"family":"Minh","given":"Bui Quang"},{"family":"Vinh","given":"Le Sy"}],"issued":{"date-parts":[["2018",2,1]]},"citation-key":"hoang_ufboot2_2018"}}],"schema":"https://github.com/citation-style-language/schema/raw/master/csl-citation.json"} </w:instrText>
      </w:r>
      <w:r w:rsidR="006F5F30" w:rsidRPr="00A01033">
        <w:rPr>
          <w:rFonts w:ascii="Arial" w:hAnsi="Arial" w:cs="Arial"/>
          <w:sz w:val="22"/>
          <w:szCs w:val="22"/>
          <w:lang w:val="en-GB"/>
        </w:rPr>
        <w:fldChar w:fldCharType="separate"/>
      </w:r>
      <w:r w:rsidR="00A42136" w:rsidRPr="00A42136">
        <w:rPr>
          <w:rFonts w:ascii="Arial" w:hAnsi="Arial" w:cs="Arial"/>
          <w:sz w:val="22"/>
        </w:rPr>
        <w:t>[6]</w:t>
      </w:r>
      <w:r w:rsidR="006F5F30" w:rsidRPr="00A01033">
        <w:rPr>
          <w:rFonts w:ascii="Arial" w:hAnsi="Arial" w:cs="Arial"/>
          <w:sz w:val="22"/>
          <w:szCs w:val="22"/>
          <w:lang w:val="en-GB"/>
        </w:rPr>
        <w:fldChar w:fldCharType="end"/>
      </w:r>
      <w:r w:rsidRPr="003A67B8">
        <w:rPr>
          <w:rFonts w:ascii="Arial" w:hAnsi="Arial" w:cs="Arial"/>
          <w:sz w:val="22"/>
          <w:szCs w:val="22"/>
          <w:lang w:val="en-GB"/>
        </w:rPr>
        <w:t xml:space="preserve"> and automated substitution model selection for each partition. Due to the limited number of conserved genes with the closest non-Menderavirus genomes suitable to be used as root, i.e., </w:t>
      </w:r>
      <w:r w:rsidRPr="00C40B87">
        <w:rPr>
          <w:rFonts w:ascii="Arial" w:hAnsi="Arial" w:cs="Arial"/>
          <w:sz w:val="22"/>
          <w:szCs w:val="22"/>
          <w:lang w:val="en-GB"/>
        </w:rPr>
        <w:t>Acidovorax</w:t>
      </w:r>
      <w:r w:rsidRPr="003A67B8">
        <w:rPr>
          <w:rFonts w:ascii="Arial" w:hAnsi="Arial" w:cs="Arial"/>
          <w:sz w:val="22"/>
          <w:szCs w:val="22"/>
          <w:lang w:val="en-GB"/>
        </w:rPr>
        <w:t xml:space="preserve"> phage ACP17 (GCF_002625205.1), the long evolutionary distance and the high sequence conservancy of the shared genes, the phylogenomic tree was rooted using non-reversible substitution models </w:t>
      </w:r>
      <w:r w:rsidR="006F5F30" w:rsidRPr="00A01033">
        <w:rPr>
          <w:rFonts w:ascii="Arial" w:hAnsi="Arial" w:cs="Arial"/>
          <w:sz w:val="22"/>
          <w:szCs w:val="22"/>
          <w:lang w:val="en-GB"/>
        </w:rPr>
        <w:fldChar w:fldCharType="begin"/>
      </w:r>
      <w:r w:rsidR="00A42136">
        <w:rPr>
          <w:rFonts w:ascii="Arial" w:hAnsi="Arial" w:cs="Arial"/>
          <w:sz w:val="22"/>
          <w:szCs w:val="22"/>
          <w:lang w:val="en-GB"/>
        </w:rPr>
        <w:instrText xml:space="preserve"> ADDIN ZOTERO_ITEM CSL_CITATION {"citationID":"YGZsWf49","properties":{"formattedCitation":"[7]","plainCitation":"[7]","noteIndex":0},"citationItems":[{"id":12930,"uris":["http://zotero.org/users/152779/items/LHB8KCUW"],"itemData":{"id":12930,"type":"article-journal","abstract":"Using time-reversible Markov models is a very common practice in phylogenetic analysis, because although we expect many of their assumptions to be violated by empirical data, they provide high computational efficiency. However, these models lack the ability to infer the root placement of the estimated phylogeny. In order to compensate for the inability of these models to root the tree, many researchers use external information such as using outgroup taxa or additional assumptions such as molecular clocks. In this study, we investigate the utility of nonreversible models to root empirical phylogenies and introduce a new bootstrap measure, the rootstrap, which provides information on the statistical support for any given root position. [Bootstrap; nonreversible models; phylogenetic inference; root estimation.]","container-title":"Systematic Biology","DOI":"10/gmkzg3","ISSN":"1063-5157","issue":"syab067","journalAbbreviation":"Syst Biol","source":"Silverchair","title":"Assessing Confidence in Root Placement on Phylogenies: An Empirical Study Using Nonreversible Models for Mammals","title-short":"Assessing Confidence in Root Placement on Phylogenies","URL":"https://doi.org/10.1093/sysbio/syab067","author":[{"family":"Naser-Khdour","given":"Suha"},{"family":"Quang Minh","given":"Bui"},{"family":"Lanfear","given":"Robert"}],"accessed":{"date-parts":[["2021",10,12]]},"issued":{"date-parts":[["2021",8,13]]},"citation-key":"naser-khdour_assessing_2021"}}],"schema":"https://github.com/citation-style-language/schema/raw/master/csl-citation.json"} </w:instrText>
      </w:r>
      <w:r w:rsidR="006F5F30" w:rsidRPr="00A01033">
        <w:rPr>
          <w:rFonts w:ascii="Arial" w:hAnsi="Arial" w:cs="Arial"/>
          <w:sz w:val="22"/>
          <w:szCs w:val="22"/>
          <w:lang w:val="en-GB"/>
        </w:rPr>
        <w:fldChar w:fldCharType="separate"/>
      </w:r>
      <w:r w:rsidR="00A42136" w:rsidRPr="00A42136">
        <w:rPr>
          <w:rFonts w:ascii="Arial" w:hAnsi="Arial" w:cs="Arial"/>
          <w:sz w:val="22"/>
        </w:rPr>
        <w:t>[7]</w:t>
      </w:r>
      <w:r w:rsidR="006F5F30" w:rsidRPr="00A01033">
        <w:rPr>
          <w:rFonts w:ascii="Arial" w:hAnsi="Arial" w:cs="Arial"/>
          <w:sz w:val="22"/>
          <w:szCs w:val="22"/>
          <w:lang w:val="en-GB"/>
        </w:rPr>
        <w:fldChar w:fldCharType="end"/>
      </w:r>
      <w:r w:rsidRPr="003A67B8">
        <w:rPr>
          <w:rFonts w:ascii="Arial" w:hAnsi="Arial" w:cs="Arial"/>
          <w:sz w:val="22"/>
          <w:szCs w:val="22"/>
          <w:lang w:val="en-GB"/>
        </w:rPr>
        <w:t>.</w:t>
      </w:r>
    </w:p>
    <w:p w14:paraId="003B3D3C" w14:textId="7CFEE719" w:rsidR="008A302B" w:rsidRDefault="008A302B">
      <w:pPr>
        <w:rPr>
          <w:rFonts w:ascii="Arial" w:hAnsi="Arial" w:cs="Arial"/>
          <w:b/>
          <w:sz w:val="22"/>
          <w:szCs w:val="22"/>
        </w:rPr>
      </w:pPr>
      <w:r>
        <w:rPr>
          <w:rFonts w:ascii="Arial" w:hAnsi="Arial" w:cs="Arial"/>
          <w:b/>
          <w:sz w:val="22"/>
          <w:szCs w:val="22"/>
        </w:rPr>
        <w:br w:type="page"/>
      </w:r>
    </w:p>
    <w:p w14:paraId="1458B401" w14:textId="1AABDD50" w:rsidR="006F5F30" w:rsidRDefault="00BE711B">
      <w:pPr>
        <w:rPr>
          <w:rFonts w:ascii="Arial" w:hAnsi="Arial" w:cs="Arial"/>
          <w:b/>
          <w:sz w:val="22"/>
          <w:szCs w:val="22"/>
        </w:rPr>
      </w:pPr>
      <w:r w:rsidRPr="00463CE2">
        <w:rPr>
          <w:noProof/>
          <w:lang w:val="en-GB"/>
        </w:rPr>
        <w:lastRenderedPageBreak/>
        <w:drawing>
          <wp:inline distT="0" distB="0" distL="0" distR="0" wp14:anchorId="7A44EFBA" wp14:editId="3CCA29B4">
            <wp:extent cx="5731510" cy="6684199"/>
            <wp:effectExtent l="0" t="0" r="0" b="0"/>
            <wp:docPr id="27" name="Picture 2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schematic&#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31510" cy="6684199"/>
                    </a:xfrm>
                    <a:prstGeom prst="rect">
                      <a:avLst/>
                    </a:prstGeom>
                    <a:noFill/>
                    <a:ln>
                      <a:noFill/>
                    </a:ln>
                  </pic:spPr>
                </pic:pic>
              </a:graphicData>
            </a:graphic>
          </wp:inline>
        </w:drawing>
      </w:r>
    </w:p>
    <w:p w14:paraId="4E55FD95" w14:textId="3171BC3A" w:rsidR="00BE711B" w:rsidRPr="00BE711B" w:rsidRDefault="00BE711B">
      <w:pPr>
        <w:rPr>
          <w:rFonts w:ascii="Arial" w:hAnsi="Arial" w:cs="Arial"/>
          <w:bCs/>
          <w:sz w:val="22"/>
          <w:szCs w:val="22"/>
        </w:rPr>
      </w:pPr>
      <w:r w:rsidRPr="00BE711B">
        <w:rPr>
          <w:rFonts w:ascii="Arial" w:hAnsi="Arial" w:cs="Arial"/>
          <w:bCs/>
          <w:sz w:val="22"/>
          <w:szCs w:val="22"/>
        </w:rPr>
        <w:t xml:space="preserve">Phylogenetic trees showing the placement of </w:t>
      </w:r>
      <w:r w:rsidR="00995672">
        <w:rPr>
          <w:rFonts w:ascii="Arial" w:hAnsi="Arial" w:cs="Arial"/>
          <w:bCs/>
          <w:sz w:val="22"/>
          <w:szCs w:val="22"/>
        </w:rPr>
        <w:t>VB_SmaM_Ps15</w:t>
      </w:r>
      <w:r w:rsidRPr="00BE711B">
        <w:rPr>
          <w:rFonts w:ascii="Arial" w:hAnsi="Arial" w:cs="Arial"/>
          <w:bCs/>
          <w:sz w:val="22"/>
          <w:szCs w:val="22"/>
        </w:rPr>
        <w:t xml:space="preserve"> in </w:t>
      </w:r>
      <w:r>
        <w:rPr>
          <w:rFonts w:ascii="Arial" w:hAnsi="Arial" w:cs="Arial"/>
          <w:bCs/>
          <w:sz w:val="22"/>
          <w:szCs w:val="22"/>
        </w:rPr>
        <w:t xml:space="preserve">relationship </w:t>
      </w:r>
      <w:r w:rsidRPr="00BE711B">
        <w:rPr>
          <w:rFonts w:ascii="Arial" w:hAnsi="Arial" w:cs="Arial"/>
          <w:bCs/>
          <w:sz w:val="22"/>
          <w:szCs w:val="22"/>
        </w:rPr>
        <w:t>to other phages. Phylogenies are based on the major capsid protein (A), the large terminase subunit (B), and on the partitioned phylogenomic analysis with 188 core proteins (C). Tip colours indicate the phylum of the host. Trees were rooted using non-reversible substitution models</w:t>
      </w:r>
      <w:r w:rsidR="00E31158" w:rsidRPr="003A67B8">
        <w:rPr>
          <w:rFonts w:ascii="Arial" w:hAnsi="Arial" w:cs="Arial"/>
          <w:sz w:val="22"/>
          <w:szCs w:val="22"/>
          <w:lang w:val="en-GB"/>
        </w:rPr>
        <w:t xml:space="preserve"> </w:t>
      </w:r>
      <w:r w:rsidR="00E31158" w:rsidRPr="00A01033">
        <w:rPr>
          <w:rFonts w:ascii="Arial" w:hAnsi="Arial" w:cs="Arial"/>
          <w:sz w:val="22"/>
          <w:szCs w:val="22"/>
          <w:lang w:val="en-GB"/>
        </w:rPr>
        <w:fldChar w:fldCharType="begin"/>
      </w:r>
      <w:r w:rsidR="00E31158">
        <w:rPr>
          <w:rFonts w:ascii="Arial" w:hAnsi="Arial" w:cs="Arial"/>
          <w:sz w:val="22"/>
          <w:szCs w:val="22"/>
          <w:lang w:val="en-GB"/>
        </w:rPr>
        <w:instrText xml:space="preserve"> ADDIN ZOTERO_ITEM CSL_CITATION {"citationID":"YGZsWf49","properties":{"formattedCitation":"[7]","plainCitation":"[7]","noteIndex":0},"citationItems":[{"id":12930,"uris":["http://zotero.org/users/152779/items/LHB8KCUW"],"itemData":{"id":12930,"type":"article-journal","abstract":"Using time-reversible Markov models is a very common practice in phylogenetic analysis, because although we expect many of their assumptions to be violated by empirical data, they provide high computational efficiency. However, these models lack the ability to infer the root placement of the estimated phylogeny. In order to compensate for the inability of these models to root the tree, many researchers use external information such as using outgroup taxa or additional assumptions such as molecular clocks. In this study, we investigate the utility of nonreversible models to root empirical phylogenies and introduce a new bootstrap measure, the rootstrap, which provides information on the statistical support for any given root position. [Bootstrap; nonreversible models; phylogenetic inference; root estimation.]","container-title":"Systematic Biology","DOI":"10/gmkzg3","ISSN":"1063-5157","issue":"syab067","journalAbbreviation":"Syst Biol","source":"Silverchair","title":"Assessing Confidence in Root Placement on Phylogenies: An Empirical Study Using Nonreversible Models for Mammals","title-short":"Assessing Confidence in Root Placement on Phylogenies","URL":"https://doi.org/10.1093/sysbio/syab067","author":[{"family":"Naser-Khdour","given":"Suha"},{"family":"Quang Minh","given":"Bui"},{"family":"Lanfear","given":"Robert"}],"accessed":{"date-parts":[["2021",10,12]]},"issued":{"date-parts":[["2021",8,13]]},"citation-key":"naser-khdour_assessing_2021"}}],"schema":"https://github.com/citation-style-language/schema/raw/master/csl-citation.json"} </w:instrText>
      </w:r>
      <w:r w:rsidR="00E31158" w:rsidRPr="00A01033">
        <w:rPr>
          <w:rFonts w:ascii="Arial" w:hAnsi="Arial" w:cs="Arial"/>
          <w:sz w:val="22"/>
          <w:szCs w:val="22"/>
          <w:lang w:val="en-GB"/>
        </w:rPr>
        <w:fldChar w:fldCharType="separate"/>
      </w:r>
      <w:r w:rsidR="00E31158" w:rsidRPr="00A42136">
        <w:rPr>
          <w:rFonts w:ascii="Arial" w:hAnsi="Arial" w:cs="Arial"/>
          <w:sz w:val="22"/>
        </w:rPr>
        <w:t>[7]</w:t>
      </w:r>
      <w:r w:rsidR="00E31158" w:rsidRPr="00A01033">
        <w:rPr>
          <w:rFonts w:ascii="Arial" w:hAnsi="Arial" w:cs="Arial"/>
          <w:sz w:val="22"/>
          <w:szCs w:val="22"/>
          <w:lang w:val="en-GB"/>
        </w:rPr>
        <w:fldChar w:fldCharType="end"/>
      </w:r>
      <w:r w:rsidRPr="00BE711B">
        <w:rPr>
          <w:rFonts w:ascii="Arial" w:hAnsi="Arial" w:cs="Arial"/>
          <w:bCs/>
          <w:sz w:val="22"/>
          <w:szCs w:val="22"/>
        </w:rPr>
        <w:t>.</w:t>
      </w:r>
    </w:p>
    <w:p w14:paraId="734627F5" w14:textId="77777777" w:rsidR="00BE711B" w:rsidRDefault="00BE711B">
      <w:pPr>
        <w:rPr>
          <w:rFonts w:ascii="Arial" w:hAnsi="Arial" w:cs="Arial"/>
          <w:b/>
          <w:sz w:val="22"/>
          <w:szCs w:val="22"/>
        </w:rPr>
      </w:pPr>
    </w:p>
    <w:p w14:paraId="473CA7D1" w14:textId="77777777" w:rsidR="008A302B" w:rsidRDefault="008A302B">
      <w:pPr>
        <w:rPr>
          <w:rFonts w:ascii="Arial" w:hAnsi="Arial" w:cs="Arial"/>
          <w:b/>
          <w:sz w:val="22"/>
          <w:szCs w:val="22"/>
        </w:rPr>
      </w:pPr>
      <w:r>
        <w:rPr>
          <w:rFonts w:ascii="Arial" w:hAnsi="Arial" w:cs="Arial"/>
          <w:b/>
          <w:sz w:val="22"/>
          <w:szCs w:val="22"/>
        </w:rPr>
        <w:br w:type="page"/>
      </w:r>
    </w:p>
    <w:p w14:paraId="7D9013D2" w14:textId="6CB3C294" w:rsidR="00A174CC" w:rsidRDefault="003B21A8">
      <w:pPr>
        <w:rPr>
          <w:rFonts w:ascii="Arial" w:hAnsi="Arial" w:cs="Arial"/>
          <w:b/>
          <w:sz w:val="22"/>
          <w:szCs w:val="22"/>
        </w:rPr>
      </w:pPr>
      <w:r>
        <w:rPr>
          <w:rFonts w:ascii="Arial" w:hAnsi="Arial" w:cs="Arial"/>
          <w:b/>
          <w:sz w:val="22"/>
          <w:szCs w:val="22"/>
        </w:rPr>
        <w:lastRenderedPageBreak/>
        <w:t>Electron micrograph:</w:t>
      </w:r>
    </w:p>
    <w:p w14:paraId="3EF43AEE" w14:textId="08246CF4" w:rsidR="00BE711B" w:rsidRPr="00D0158A" w:rsidRDefault="00BE711B">
      <w:pPr>
        <w:rPr>
          <w:rFonts w:ascii="Arial" w:hAnsi="Arial" w:cs="Arial"/>
          <w:b/>
          <w:sz w:val="22"/>
          <w:szCs w:val="22"/>
        </w:rPr>
      </w:pPr>
    </w:p>
    <w:tbl>
      <w:tblPr>
        <w:tblStyle w:val="TableGrid"/>
        <w:tblW w:w="10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50"/>
        <w:gridCol w:w="4715"/>
      </w:tblGrid>
      <w:tr w:rsidR="00D0158A" w:rsidRPr="00D0158A" w14:paraId="5431BD18" w14:textId="77777777" w:rsidTr="00D0158A">
        <w:tc>
          <w:tcPr>
            <w:tcW w:w="4312" w:type="dxa"/>
            <w:shd w:val="clear" w:color="auto" w:fill="auto"/>
            <w:vAlign w:val="center"/>
          </w:tcPr>
          <w:p w14:paraId="4F123F29" w14:textId="77777777" w:rsidR="00D0158A" w:rsidRPr="00D0158A" w:rsidRDefault="00D0158A" w:rsidP="00D0158A">
            <w:pPr>
              <w:jc w:val="center"/>
              <w:rPr>
                <w:rFonts w:ascii="Arial" w:hAnsi="Arial" w:cs="Arial"/>
                <w:b/>
                <w:sz w:val="22"/>
                <w:szCs w:val="22"/>
                <w:lang w:val="en-GB"/>
              </w:rPr>
            </w:pPr>
            <w:r w:rsidRPr="00D0158A">
              <w:rPr>
                <w:rFonts w:ascii="Arial" w:hAnsi="Arial" w:cs="Arial"/>
                <w:b/>
                <w:noProof/>
                <w:sz w:val="22"/>
                <w:szCs w:val="22"/>
                <w:lang w:val="en-GB"/>
              </w:rPr>
              <w:drawing>
                <wp:inline distT="0" distB="0" distL="0" distR="0" wp14:anchorId="45C7C7D0" wp14:editId="1C49471D">
                  <wp:extent cx="2757600" cy="2782800"/>
                  <wp:effectExtent l="0" t="0" r="5080" b="0"/>
                  <wp:docPr id="32" name="Picture 32" descr="A picture containing device, meter,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evice, meter, gaug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7600" cy="2782800"/>
                          </a:xfrm>
                          <a:prstGeom prst="rect">
                            <a:avLst/>
                          </a:prstGeom>
                          <a:noFill/>
                          <a:ln>
                            <a:noFill/>
                          </a:ln>
                        </pic:spPr>
                      </pic:pic>
                    </a:graphicData>
                  </a:graphic>
                </wp:inline>
              </w:drawing>
            </w:r>
          </w:p>
        </w:tc>
        <w:tc>
          <w:tcPr>
            <w:tcW w:w="3536" w:type="dxa"/>
            <w:shd w:val="clear" w:color="auto" w:fill="auto"/>
            <w:vAlign w:val="center"/>
          </w:tcPr>
          <w:p w14:paraId="0A0DF30C" w14:textId="232D82DB" w:rsidR="00D0158A" w:rsidRPr="00D0158A" w:rsidRDefault="00D0158A" w:rsidP="00D0158A">
            <w:pPr>
              <w:jc w:val="center"/>
              <w:rPr>
                <w:rFonts w:ascii="Arial" w:hAnsi="Arial" w:cs="Arial"/>
                <w:b/>
                <w:sz w:val="22"/>
                <w:szCs w:val="22"/>
                <w:lang w:val="en-GB"/>
              </w:rPr>
            </w:pPr>
            <w:r w:rsidRPr="00D0158A">
              <w:rPr>
                <w:rFonts w:ascii="Arial" w:hAnsi="Arial" w:cs="Arial"/>
                <w:b/>
                <w:noProof/>
                <w:sz w:val="22"/>
                <w:szCs w:val="22"/>
                <w:lang w:val="en-GB"/>
              </w:rPr>
              <w:drawing>
                <wp:inline distT="0" distB="0" distL="0" distR="0" wp14:anchorId="2A5A6C78" wp14:editId="6A001208">
                  <wp:extent cx="2602800" cy="2782800"/>
                  <wp:effectExtent l="0" t="0" r="7620" b="0"/>
                  <wp:docPr id="34" name="Picture 34" descr="A close-up of a person's ey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person's eye&#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2800" cy="2782800"/>
                          </a:xfrm>
                          <a:prstGeom prst="rect">
                            <a:avLst/>
                          </a:prstGeom>
                          <a:noFill/>
                          <a:ln>
                            <a:noFill/>
                          </a:ln>
                        </pic:spPr>
                      </pic:pic>
                    </a:graphicData>
                  </a:graphic>
                </wp:inline>
              </w:drawing>
            </w:r>
          </w:p>
        </w:tc>
      </w:tr>
      <w:tr w:rsidR="00D0158A" w:rsidRPr="00D0158A" w14:paraId="1C1E936C" w14:textId="77777777" w:rsidTr="00D0158A">
        <w:tc>
          <w:tcPr>
            <w:tcW w:w="4312" w:type="dxa"/>
            <w:shd w:val="clear" w:color="auto" w:fill="auto"/>
            <w:vAlign w:val="center"/>
          </w:tcPr>
          <w:p w14:paraId="1330223B" w14:textId="77777777" w:rsidR="00D0158A" w:rsidRPr="00D0158A" w:rsidRDefault="00D0158A" w:rsidP="00D0158A">
            <w:pPr>
              <w:jc w:val="center"/>
              <w:rPr>
                <w:rFonts w:ascii="Arial" w:hAnsi="Arial" w:cs="Arial"/>
                <w:b/>
                <w:sz w:val="22"/>
                <w:szCs w:val="22"/>
                <w:lang w:val="en-GB"/>
              </w:rPr>
            </w:pPr>
            <w:r w:rsidRPr="00D0158A">
              <w:rPr>
                <w:rFonts w:ascii="Arial" w:hAnsi="Arial" w:cs="Arial"/>
                <w:b/>
                <w:sz w:val="22"/>
                <w:szCs w:val="22"/>
                <w:lang w:val="en-GB"/>
              </w:rPr>
              <w:t>(a)</w:t>
            </w:r>
          </w:p>
        </w:tc>
        <w:tc>
          <w:tcPr>
            <w:tcW w:w="3536" w:type="dxa"/>
            <w:shd w:val="clear" w:color="auto" w:fill="auto"/>
            <w:vAlign w:val="center"/>
          </w:tcPr>
          <w:p w14:paraId="389DE31D" w14:textId="77777777" w:rsidR="00D0158A" w:rsidRPr="00D0158A" w:rsidRDefault="00D0158A" w:rsidP="00D0158A">
            <w:pPr>
              <w:jc w:val="center"/>
              <w:rPr>
                <w:rFonts w:ascii="Arial" w:hAnsi="Arial" w:cs="Arial"/>
                <w:b/>
                <w:sz w:val="22"/>
                <w:szCs w:val="22"/>
                <w:lang w:val="en-GB"/>
              </w:rPr>
            </w:pPr>
            <w:r w:rsidRPr="00D0158A">
              <w:rPr>
                <w:rFonts w:ascii="Arial" w:hAnsi="Arial" w:cs="Arial"/>
                <w:b/>
                <w:sz w:val="22"/>
                <w:szCs w:val="22"/>
                <w:lang w:val="en-GB"/>
              </w:rPr>
              <w:t>(b)</w:t>
            </w:r>
          </w:p>
        </w:tc>
      </w:tr>
      <w:tr w:rsidR="00D0158A" w:rsidRPr="00D0158A" w14:paraId="2AE1BF11" w14:textId="77777777" w:rsidTr="00D0158A">
        <w:tc>
          <w:tcPr>
            <w:tcW w:w="7848" w:type="dxa"/>
            <w:gridSpan w:val="2"/>
            <w:shd w:val="clear" w:color="auto" w:fill="auto"/>
            <w:vAlign w:val="center"/>
          </w:tcPr>
          <w:p w14:paraId="14FC374A" w14:textId="7C593831" w:rsidR="00D0158A" w:rsidRPr="00D0158A" w:rsidRDefault="00D0158A" w:rsidP="00D0158A">
            <w:pPr>
              <w:jc w:val="center"/>
              <w:rPr>
                <w:rFonts w:ascii="Arial" w:hAnsi="Arial" w:cs="Arial"/>
                <w:b/>
                <w:sz w:val="22"/>
                <w:szCs w:val="22"/>
                <w:lang w:val="en-GB"/>
              </w:rPr>
            </w:pPr>
            <w:r w:rsidRPr="00D0158A">
              <w:rPr>
                <w:rFonts w:ascii="Arial" w:hAnsi="Arial" w:cs="Arial"/>
                <w:b/>
                <w:noProof/>
                <w:sz w:val="22"/>
                <w:szCs w:val="22"/>
                <w:lang w:val="en-GB"/>
              </w:rPr>
              <w:drawing>
                <wp:inline distT="0" distB="0" distL="0" distR="0" wp14:anchorId="57DDB404" wp14:editId="6F4FED52">
                  <wp:extent cx="2563200" cy="3070800"/>
                  <wp:effectExtent l="0" t="0" r="8890" b="0"/>
                  <wp:docPr id="36" name="Picture 36" descr="A close-up of a he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heart&#10;&#10;Description automatically generated with low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3200" cy="3070800"/>
                          </a:xfrm>
                          <a:prstGeom prst="rect">
                            <a:avLst/>
                          </a:prstGeom>
                          <a:noFill/>
                          <a:ln>
                            <a:noFill/>
                          </a:ln>
                        </pic:spPr>
                      </pic:pic>
                    </a:graphicData>
                  </a:graphic>
                </wp:inline>
              </w:drawing>
            </w:r>
          </w:p>
        </w:tc>
      </w:tr>
      <w:tr w:rsidR="00D0158A" w:rsidRPr="00D0158A" w14:paraId="0C56AF4C" w14:textId="77777777" w:rsidTr="00D0158A">
        <w:tc>
          <w:tcPr>
            <w:tcW w:w="7848" w:type="dxa"/>
            <w:gridSpan w:val="2"/>
            <w:shd w:val="clear" w:color="auto" w:fill="auto"/>
            <w:vAlign w:val="center"/>
          </w:tcPr>
          <w:p w14:paraId="316BB6F5" w14:textId="77777777" w:rsidR="00D0158A" w:rsidRPr="00D0158A" w:rsidRDefault="00D0158A" w:rsidP="00D0158A">
            <w:pPr>
              <w:jc w:val="center"/>
              <w:rPr>
                <w:rFonts w:ascii="Arial" w:hAnsi="Arial" w:cs="Arial"/>
                <w:b/>
                <w:sz w:val="22"/>
                <w:szCs w:val="22"/>
                <w:lang w:val="en-GB"/>
              </w:rPr>
            </w:pPr>
            <w:r w:rsidRPr="00D0158A">
              <w:rPr>
                <w:rFonts w:ascii="Arial" w:hAnsi="Arial" w:cs="Arial"/>
                <w:b/>
                <w:sz w:val="22"/>
                <w:szCs w:val="22"/>
                <w:lang w:val="en-GB"/>
              </w:rPr>
              <w:t>(c)</w:t>
            </w:r>
          </w:p>
        </w:tc>
      </w:tr>
    </w:tbl>
    <w:p w14:paraId="3C9E624A" w14:textId="77777777" w:rsidR="00D0158A" w:rsidRDefault="00D0158A" w:rsidP="00D0158A">
      <w:pPr>
        <w:rPr>
          <w:rFonts w:ascii="Arial" w:hAnsi="Arial" w:cs="Arial"/>
          <w:sz w:val="22"/>
          <w:szCs w:val="22"/>
          <w:lang w:val="en-GB"/>
        </w:rPr>
      </w:pPr>
    </w:p>
    <w:p w14:paraId="748FA55D" w14:textId="4CE07107" w:rsidR="00D0158A" w:rsidRPr="00D0158A" w:rsidRDefault="00D0158A" w:rsidP="00D0158A">
      <w:pPr>
        <w:rPr>
          <w:rFonts w:ascii="Arial" w:hAnsi="Arial" w:cs="Arial"/>
          <w:sz w:val="22"/>
          <w:szCs w:val="22"/>
          <w:lang w:val="en-GB"/>
        </w:rPr>
      </w:pPr>
      <w:r w:rsidRPr="00D0158A">
        <w:rPr>
          <w:rFonts w:ascii="Arial" w:hAnsi="Arial" w:cs="Arial"/>
          <w:sz w:val="22"/>
          <w:szCs w:val="22"/>
          <w:lang w:val="en-GB"/>
        </w:rPr>
        <w:t xml:space="preserve">Transmission electron micrographs of the </w:t>
      </w:r>
      <w:r w:rsidR="00995672">
        <w:rPr>
          <w:rFonts w:ascii="Arial" w:hAnsi="Arial" w:cs="Arial"/>
          <w:sz w:val="22"/>
          <w:szCs w:val="22"/>
          <w:lang w:val="en-GB"/>
        </w:rPr>
        <w:t>VB_SmaM_Ps15</w:t>
      </w:r>
      <w:r w:rsidRPr="00D0158A">
        <w:rPr>
          <w:rFonts w:ascii="Arial" w:hAnsi="Arial" w:cs="Arial"/>
          <w:sz w:val="22"/>
          <w:szCs w:val="22"/>
          <w:lang w:val="en-GB"/>
        </w:rPr>
        <w:t xml:space="preserve"> phage particles stained with 2% (</w:t>
      </w:r>
      <w:r w:rsidRPr="00D0158A">
        <w:rPr>
          <w:rFonts w:ascii="Arial" w:hAnsi="Arial" w:cs="Arial"/>
          <w:i/>
          <w:sz w:val="22"/>
          <w:szCs w:val="22"/>
          <w:lang w:val="en-GB"/>
        </w:rPr>
        <w:t>w/v</w:t>
      </w:r>
      <w:r w:rsidRPr="00D0158A">
        <w:rPr>
          <w:rFonts w:ascii="Arial" w:hAnsi="Arial" w:cs="Arial"/>
          <w:sz w:val="22"/>
          <w:szCs w:val="22"/>
          <w:lang w:val="en-GB"/>
        </w:rPr>
        <w:t xml:space="preserve">) uranyl acetate displaying the </w:t>
      </w:r>
      <w:r w:rsidR="00223841">
        <w:rPr>
          <w:rFonts w:ascii="Arial" w:hAnsi="Arial" w:cs="Arial"/>
          <w:sz w:val="22"/>
          <w:szCs w:val="22"/>
          <w:lang w:val="en-GB"/>
        </w:rPr>
        <w:t>myovirus</w:t>
      </w:r>
      <w:r w:rsidRPr="00D0158A">
        <w:rPr>
          <w:rFonts w:ascii="Arial" w:hAnsi="Arial" w:cs="Arial"/>
          <w:sz w:val="22"/>
          <w:szCs w:val="22"/>
          <w:lang w:val="en-GB"/>
        </w:rPr>
        <w:t xml:space="preserve"> morphotype. Magnification × 60 K. Scale bars are included for each image.</w:t>
      </w:r>
    </w:p>
    <w:p w14:paraId="1B5558AD" w14:textId="77777777" w:rsidR="00A174CC" w:rsidRPr="00D0158A" w:rsidRDefault="00A174CC">
      <w:pPr>
        <w:rPr>
          <w:rFonts w:ascii="Arial" w:hAnsi="Arial" w:cs="Arial"/>
          <w:sz w:val="22"/>
          <w:szCs w:val="22"/>
        </w:rPr>
      </w:pPr>
    </w:p>
    <w:p w14:paraId="3437A237" w14:textId="77777777" w:rsidR="00A174CC" w:rsidRPr="00A01033" w:rsidRDefault="008815EE">
      <w:pPr>
        <w:spacing w:before="120" w:after="120"/>
        <w:rPr>
          <w:rFonts w:ascii="Arial" w:hAnsi="Arial" w:cs="Arial"/>
          <w:b/>
        </w:rPr>
      </w:pPr>
      <w:r w:rsidRPr="00A01033">
        <w:rPr>
          <w:rFonts w:ascii="Arial" w:hAnsi="Arial" w:cs="Arial"/>
          <w:b/>
        </w:rPr>
        <w:t>References</w:t>
      </w:r>
    </w:p>
    <w:p w14:paraId="23770C15" w14:textId="77777777" w:rsidR="009944C7" w:rsidRPr="009944C7" w:rsidRDefault="008E0FDD" w:rsidP="009944C7">
      <w:pPr>
        <w:pStyle w:val="Bibliography"/>
      </w:pPr>
      <w:r w:rsidRPr="00A01033">
        <w:fldChar w:fldCharType="begin"/>
      </w:r>
      <w:r w:rsidR="009944C7">
        <w:instrText xml:space="preserve"> ADDIN ZOTERO_BIBL {"uncited":[],"omitted":[],"custom":[]} CSL_BIBLIOGRAPHY </w:instrText>
      </w:r>
      <w:r w:rsidRPr="00A01033">
        <w:fldChar w:fldCharType="separate"/>
      </w:r>
      <w:r w:rsidR="009944C7" w:rsidRPr="009944C7">
        <w:t xml:space="preserve">1. </w:t>
      </w:r>
      <w:r w:rsidR="009944C7" w:rsidRPr="009944C7">
        <w:tab/>
        <w:t xml:space="preserve">Damnjanović D, Vázquez-Campos X, Elliot L, et al (2022) Characterisation of bacteriophage vB_SmaM_Ps15 infective to </w:t>
      </w:r>
      <w:r w:rsidR="009944C7" w:rsidRPr="009944C7">
        <w:rPr>
          <w:i/>
          <w:iCs/>
        </w:rPr>
        <w:t>Stenotrophomonas maltophilia</w:t>
      </w:r>
      <w:r w:rsidR="009944C7" w:rsidRPr="009944C7">
        <w:t xml:space="preserve"> clinical ocular isolates. Viruses 14:709. https://doi.org/10.3390/v14040709</w:t>
      </w:r>
    </w:p>
    <w:p w14:paraId="29173EB2" w14:textId="77777777" w:rsidR="009944C7" w:rsidRPr="009944C7" w:rsidRDefault="009944C7" w:rsidP="009944C7">
      <w:pPr>
        <w:pStyle w:val="Bibliography"/>
      </w:pPr>
      <w:r w:rsidRPr="009944C7">
        <w:t xml:space="preserve">2. </w:t>
      </w:r>
      <w:r w:rsidRPr="009944C7">
        <w:tab/>
        <w:t>Page AJ, Cummins CA, Hunt M, et al (2015) Roary: rapid large-scale prokaryote pan genome analysis. Bioinformatics 31:3691–3693. https://doi.org/10/ggbhmt</w:t>
      </w:r>
    </w:p>
    <w:p w14:paraId="7BCD0DEC" w14:textId="77777777" w:rsidR="009944C7" w:rsidRPr="009944C7" w:rsidRDefault="009944C7" w:rsidP="009944C7">
      <w:pPr>
        <w:pStyle w:val="Bibliography"/>
      </w:pPr>
      <w:r w:rsidRPr="009944C7">
        <w:lastRenderedPageBreak/>
        <w:t xml:space="preserve">3. </w:t>
      </w:r>
      <w:r w:rsidRPr="009944C7">
        <w:tab/>
        <w:t>Li W, Godzik A (2006) Cd-hit: a fast program for clustering and comparing large sets of protein or nucleotide sequences. Bioinformatics 22:1658–1659. https://doi.org/10/ct8g72</w:t>
      </w:r>
    </w:p>
    <w:p w14:paraId="049C2015" w14:textId="77777777" w:rsidR="009944C7" w:rsidRPr="009944C7" w:rsidRDefault="009944C7" w:rsidP="009944C7">
      <w:pPr>
        <w:pStyle w:val="Bibliography"/>
      </w:pPr>
      <w:r w:rsidRPr="009944C7">
        <w:t xml:space="preserve">4. </w:t>
      </w:r>
      <w:r w:rsidRPr="009944C7">
        <w:tab/>
        <w:t>Yamada KD, Tomii K, Katoh K (2016) Application of the MAFFT sequence alignment program to large data—reexamination of the usefulness of chained guide trees. Bioinformatics 32:3246–3251. https://doi.org/10/gbrb3f</w:t>
      </w:r>
    </w:p>
    <w:p w14:paraId="74877727" w14:textId="77777777" w:rsidR="009944C7" w:rsidRPr="009944C7" w:rsidRDefault="009944C7" w:rsidP="009944C7">
      <w:pPr>
        <w:pStyle w:val="Bibliography"/>
      </w:pPr>
      <w:r w:rsidRPr="009944C7">
        <w:t xml:space="preserve">5. </w:t>
      </w:r>
      <w:r w:rsidRPr="009944C7">
        <w:tab/>
        <w:t>Minh BQ, Schmidt HA, Chernomor O, et al (2020) IQ-TREE 2: New Models and Efficient Methods for Phylogenetic Inference in the Genomic Era. Mol Biol Evol 37:1530–1534. https://doi.org/10/ggkxzj</w:t>
      </w:r>
    </w:p>
    <w:p w14:paraId="0BF315D9" w14:textId="77777777" w:rsidR="009944C7" w:rsidRPr="009944C7" w:rsidRDefault="009944C7" w:rsidP="009944C7">
      <w:pPr>
        <w:pStyle w:val="Bibliography"/>
      </w:pPr>
      <w:r w:rsidRPr="009944C7">
        <w:t xml:space="preserve">6. </w:t>
      </w:r>
      <w:r w:rsidRPr="009944C7">
        <w:tab/>
        <w:t>Hoang DT, Chernomor O, von Haeseler A, et al (2018) UFBoot2: Improving the Ultrafast Bootstrap Approximation. Mol Biol Evol 35:518–522. https://doi.org/10/gcxrqg</w:t>
      </w:r>
    </w:p>
    <w:p w14:paraId="0799D0EB" w14:textId="77777777" w:rsidR="009944C7" w:rsidRPr="009944C7" w:rsidRDefault="009944C7" w:rsidP="009944C7">
      <w:pPr>
        <w:pStyle w:val="Bibliography"/>
      </w:pPr>
      <w:r w:rsidRPr="009944C7">
        <w:t xml:space="preserve">7. </w:t>
      </w:r>
      <w:r w:rsidRPr="009944C7">
        <w:tab/>
        <w:t>Naser-Khdour S, Quang Minh B, Lanfear R (2021) Assessing Confidence in Root Placement on Phylogenies: An Empirical Study Using Nonreversible Models for Mammals. Syst Biol. https://doi.org/10/gmkzg3</w:t>
      </w:r>
    </w:p>
    <w:p w14:paraId="5FA882A2" w14:textId="51322B25" w:rsidR="00187197" w:rsidRPr="00A01033" w:rsidRDefault="008E0FDD" w:rsidP="00A01033">
      <w:pPr>
        <w:pStyle w:val="Bibliography"/>
      </w:pPr>
      <w:r w:rsidRPr="00A01033">
        <w:fldChar w:fldCharType="end"/>
      </w:r>
    </w:p>
    <w:sectPr w:rsidR="00187197" w:rsidRPr="00A01033">
      <w:headerReference w:type="default" r:id="rId2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99DF1" w14:textId="77777777" w:rsidR="00C10232" w:rsidRDefault="00C10232">
      <w:r>
        <w:separator/>
      </w:r>
    </w:p>
  </w:endnote>
  <w:endnote w:type="continuationSeparator" w:id="0">
    <w:p w14:paraId="5B94E8F4" w14:textId="77777777" w:rsidR="00C10232" w:rsidRDefault="00C1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5CDD" w14:textId="77777777" w:rsidR="00C10232" w:rsidRDefault="00C10232">
      <w:r>
        <w:separator/>
      </w:r>
    </w:p>
  </w:footnote>
  <w:footnote w:type="continuationSeparator" w:id="0">
    <w:p w14:paraId="1A1BF0A3" w14:textId="77777777" w:rsidR="00C10232" w:rsidRDefault="00C10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53621063">
    <w:abstractNumId w:val="0"/>
  </w:num>
  <w:num w:numId="2" w16cid:durableId="327944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74CC"/>
    <w:rsid w:val="000170B2"/>
    <w:rsid w:val="00035A87"/>
    <w:rsid w:val="00056D5F"/>
    <w:rsid w:val="00063DB0"/>
    <w:rsid w:val="000A146A"/>
    <w:rsid w:val="000F51F4"/>
    <w:rsid w:val="000F7067"/>
    <w:rsid w:val="0013113D"/>
    <w:rsid w:val="00187197"/>
    <w:rsid w:val="001A7FD4"/>
    <w:rsid w:val="00223841"/>
    <w:rsid w:val="0026245E"/>
    <w:rsid w:val="0037243A"/>
    <w:rsid w:val="00396810"/>
    <w:rsid w:val="003A3946"/>
    <w:rsid w:val="003A67B8"/>
    <w:rsid w:val="003B21A8"/>
    <w:rsid w:val="0043110C"/>
    <w:rsid w:val="004E413D"/>
    <w:rsid w:val="004F3196"/>
    <w:rsid w:val="0052283E"/>
    <w:rsid w:val="00543F86"/>
    <w:rsid w:val="00556927"/>
    <w:rsid w:val="00571FFA"/>
    <w:rsid w:val="00580207"/>
    <w:rsid w:val="005A54C3"/>
    <w:rsid w:val="00660CDB"/>
    <w:rsid w:val="006F5F30"/>
    <w:rsid w:val="0072495C"/>
    <w:rsid w:val="007A2F19"/>
    <w:rsid w:val="00842F07"/>
    <w:rsid w:val="00866AE1"/>
    <w:rsid w:val="008815EE"/>
    <w:rsid w:val="0089669F"/>
    <w:rsid w:val="008A19FA"/>
    <w:rsid w:val="008A302B"/>
    <w:rsid w:val="008E0FDD"/>
    <w:rsid w:val="008E3532"/>
    <w:rsid w:val="009944C7"/>
    <w:rsid w:val="00995672"/>
    <w:rsid w:val="009C1A36"/>
    <w:rsid w:val="00A01033"/>
    <w:rsid w:val="00A174CC"/>
    <w:rsid w:val="00A2078E"/>
    <w:rsid w:val="00A2131F"/>
    <w:rsid w:val="00A2357C"/>
    <w:rsid w:val="00A42136"/>
    <w:rsid w:val="00AD4EC5"/>
    <w:rsid w:val="00AD759B"/>
    <w:rsid w:val="00B35CC8"/>
    <w:rsid w:val="00B47589"/>
    <w:rsid w:val="00BE711B"/>
    <w:rsid w:val="00C10232"/>
    <w:rsid w:val="00C40B87"/>
    <w:rsid w:val="00C56A2C"/>
    <w:rsid w:val="00D0158A"/>
    <w:rsid w:val="00D566A4"/>
    <w:rsid w:val="00DB46A2"/>
    <w:rsid w:val="00DE1647"/>
    <w:rsid w:val="00E31158"/>
    <w:rsid w:val="00E449D7"/>
    <w:rsid w:val="00F71513"/>
    <w:rsid w:val="00FD3D9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58271782-4B87-4CD8-A1E8-4B511385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42F0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A2078E"/>
    <w:rPr>
      <w:color w:val="0563C1" w:themeColor="hyperlink"/>
      <w:u w:val="single"/>
    </w:rPr>
  </w:style>
  <w:style w:type="character" w:styleId="UnresolvedMention">
    <w:name w:val="Unresolved Mention"/>
    <w:basedOn w:val="DefaultParagraphFont"/>
    <w:uiPriority w:val="99"/>
    <w:rsid w:val="00A2078E"/>
    <w:rPr>
      <w:color w:val="605E5C"/>
      <w:shd w:val="clear" w:color="auto" w:fill="E1DFDD"/>
    </w:rPr>
  </w:style>
  <w:style w:type="paragraph" w:styleId="Bibliography">
    <w:name w:val="Bibliography"/>
    <w:basedOn w:val="Normal"/>
    <w:next w:val="Normal"/>
    <w:autoRedefine/>
    <w:uiPriority w:val="37"/>
    <w:unhideWhenUsed/>
    <w:rsid w:val="00A01033"/>
    <w:pPr>
      <w:tabs>
        <w:tab w:val="left" w:pos="384"/>
      </w:tabs>
      <w:spacing w:after="240"/>
      <w:ind w:left="384" w:hanging="384"/>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00787">
      <w:bodyDiv w:val="1"/>
      <w:marLeft w:val="0"/>
      <w:marRight w:val="0"/>
      <w:marTop w:val="0"/>
      <w:marBottom w:val="0"/>
      <w:divBdr>
        <w:top w:val="none" w:sz="0" w:space="0" w:color="auto"/>
        <w:left w:val="none" w:sz="0" w:space="0" w:color="auto"/>
        <w:bottom w:val="none" w:sz="0" w:space="0" w:color="auto"/>
        <w:right w:val="none" w:sz="0" w:space="0" w:color="auto"/>
      </w:divBdr>
      <w:divsChild>
        <w:div w:id="1450317145">
          <w:marLeft w:val="0"/>
          <w:marRight w:val="0"/>
          <w:marTop w:val="0"/>
          <w:marBottom w:val="0"/>
          <w:divBdr>
            <w:top w:val="none" w:sz="0" w:space="0" w:color="auto"/>
            <w:left w:val="none" w:sz="0" w:space="0" w:color="auto"/>
            <w:bottom w:val="none" w:sz="0" w:space="0" w:color="auto"/>
            <w:right w:val="none" w:sz="0" w:space="0" w:color="auto"/>
          </w:divBdr>
          <w:divsChild>
            <w:div w:id="1564027232">
              <w:marLeft w:val="0"/>
              <w:marRight w:val="0"/>
              <w:marTop w:val="0"/>
              <w:marBottom w:val="0"/>
              <w:divBdr>
                <w:top w:val="none" w:sz="0" w:space="0" w:color="auto"/>
                <w:left w:val="none" w:sz="0" w:space="0" w:color="auto"/>
                <w:bottom w:val="none" w:sz="0" w:space="0" w:color="auto"/>
                <w:right w:val="none" w:sz="0" w:space="0" w:color="auto"/>
              </w:divBdr>
              <w:divsChild>
                <w:div w:id="187388363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core/OL702939.1" TargetMode="External"/><Relationship Id="rId13" Type="http://schemas.openxmlformats.org/officeDocument/2006/relationships/hyperlink" Target="https://www.ncbi.nlm.nih.gov/nuccore/MN095772.1"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ncbi.nlm.nih.gov/nuccore/MN098328.1"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core/MZ326868.1" TargetMode="External"/><Relationship Id="rId5" Type="http://schemas.openxmlformats.org/officeDocument/2006/relationships/footnotes" Target="footnotes.xml"/><Relationship Id="rId15" Type="http://schemas.openxmlformats.org/officeDocument/2006/relationships/hyperlink" Target="https://www.ncbi.nlm.nih.gov/nuccore/MK580972.1" TargetMode="External"/><Relationship Id="rId23" Type="http://schemas.openxmlformats.org/officeDocument/2006/relationships/theme" Target="theme/theme1.xml"/><Relationship Id="rId10" Type="http://schemas.openxmlformats.org/officeDocument/2006/relationships/hyperlink" Target="https://www.ncbi.nlm.nih.gov/nuccore/KR560069.1"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ncbi.nlm.nih.gov/nuccore/MZ398248.1" TargetMode="External"/><Relationship Id="rId14" Type="http://schemas.openxmlformats.org/officeDocument/2006/relationships/hyperlink" Target="about:blan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2995</TotalTime>
  <Pages>7</Pages>
  <Words>5069</Words>
  <Characters>28898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Reviewer</cp:lastModifiedBy>
  <cp:revision>11</cp:revision>
  <dcterms:created xsi:type="dcterms:W3CDTF">2022-03-11T03:03:00Z</dcterms:created>
  <dcterms:modified xsi:type="dcterms:W3CDTF">2022-06-13T22:38:00Z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zotero-version="6.0.4"&gt;&lt;session id="2RCYSqFS"/&gt;&lt;style id="http://www.zotero.org/styles/archives-of-virology" hasBibliography="1" bibliographyStyleHasBeenSet="1"/&gt;&lt;prefs&gt;&lt;pref name="fieldType" value="Field"/&gt;&lt;/prefs&gt;&lt;/data&gt;</vt:lpwstr>
  </property>
</Properties>
</file>