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E9DE4BD" w:rsidR="006D1B4E" w:rsidRPr="009E4E49" w:rsidRDefault="009E4E49" w:rsidP="009E4E49">
            <w:pPr>
              <w:pStyle w:val="BodyTextIndent"/>
              <w:ind w:left="0" w:firstLine="0"/>
              <w:jc w:val="center"/>
              <w:rPr>
                <w:rFonts w:ascii="Arial" w:hAnsi="Arial" w:cs="Arial"/>
                <w:b/>
                <w:bCs/>
                <w:i/>
                <w:iCs/>
                <w:sz w:val="28"/>
                <w:szCs w:val="28"/>
              </w:rPr>
            </w:pPr>
            <w:r w:rsidRPr="009E4E49">
              <w:rPr>
                <w:rFonts w:ascii="Arial" w:hAnsi="Arial" w:cs="Arial"/>
                <w:b/>
                <w:bCs/>
                <w:i/>
                <w:iCs/>
                <w:color w:val="000000" w:themeColor="text1"/>
                <w:sz w:val="28"/>
                <w:szCs w:val="28"/>
              </w:rPr>
              <w:t>2019.092B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81619EC" w:rsidR="00CF0A9B" w:rsidRPr="00A340DA"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E4E49" w:rsidRPr="009E4E49">
              <w:rPr>
                <w:rFonts w:ascii="Arial" w:hAnsi="Arial" w:cs="Arial"/>
                <w:bCs/>
                <w:color w:val="000000" w:themeColor="text1"/>
                <w:sz w:val="22"/>
                <w:szCs w:val="22"/>
              </w:rPr>
              <w:t>C</w:t>
            </w:r>
            <w:r w:rsidR="003A2ED3" w:rsidRPr="009E4E49">
              <w:rPr>
                <w:rFonts w:ascii="Arial" w:hAnsi="Arial" w:cs="Arial"/>
                <w:bCs/>
                <w:color w:val="000000" w:themeColor="text1"/>
                <w:sz w:val="22"/>
                <w:szCs w:val="22"/>
              </w:rPr>
              <w:t xml:space="preserve">reate </w:t>
            </w:r>
            <w:r w:rsidR="009E4E49" w:rsidRPr="009E4E49">
              <w:rPr>
                <w:rFonts w:ascii="Arial" w:hAnsi="Arial" w:cs="Arial"/>
                <w:bCs/>
                <w:color w:val="000000" w:themeColor="text1"/>
                <w:sz w:val="22"/>
                <w:szCs w:val="22"/>
              </w:rPr>
              <w:t>one</w:t>
            </w:r>
            <w:r w:rsidR="00FE5090" w:rsidRPr="009E4E49">
              <w:rPr>
                <w:rFonts w:ascii="Arial" w:hAnsi="Arial" w:cs="Arial"/>
                <w:bCs/>
                <w:color w:val="000000" w:themeColor="text1"/>
                <w:sz w:val="22"/>
                <w:szCs w:val="22"/>
              </w:rPr>
              <w:t xml:space="preserve"> new </w:t>
            </w:r>
            <w:r w:rsidR="003A2ED3" w:rsidRPr="009E4E49">
              <w:rPr>
                <w:rFonts w:ascii="Arial" w:hAnsi="Arial" w:cs="Arial"/>
                <w:bCs/>
                <w:color w:val="000000" w:themeColor="text1"/>
                <w:sz w:val="22"/>
                <w:szCs w:val="22"/>
              </w:rPr>
              <w:t>family</w:t>
            </w:r>
            <w:r w:rsidR="009E4E49" w:rsidRPr="009E4E49">
              <w:rPr>
                <w:rFonts w:ascii="Arial" w:hAnsi="Arial" w:cs="Arial"/>
                <w:bCs/>
                <w:color w:val="000000" w:themeColor="text1"/>
                <w:sz w:val="22"/>
                <w:szCs w:val="22"/>
              </w:rPr>
              <w:t xml:space="preserve"> (</w:t>
            </w:r>
            <w:r w:rsidR="003A2ED3" w:rsidRPr="009E4E49">
              <w:rPr>
                <w:rFonts w:ascii="Arial" w:hAnsi="Arial" w:cs="Arial"/>
                <w:bCs/>
                <w:i/>
                <w:color w:val="000000" w:themeColor="text1"/>
                <w:sz w:val="22"/>
                <w:szCs w:val="22"/>
              </w:rPr>
              <w:t>Thaspiviridae</w:t>
            </w:r>
            <w:r w:rsidR="009E4E49" w:rsidRPr="009E4E49">
              <w:rPr>
                <w:rFonts w:ascii="Arial" w:hAnsi="Arial" w:cs="Arial"/>
                <w:bCs/>
                <w:iCs/>
                <w:color w:val="000000" w:themeColor="text1"/>
                <w:sz w:val="22"/>
                <w:szCs w:val="22"/>
              </w:rPr>
              <w:t>)</w:t>
            </w:r>
            <w:r w:rsidR="003A2ED3" w:rsidRPr="009E4E49">
              <w:rPr>
                <w:rFonts w:ascii="Arial" w:hAnsi="Arial" w:cs="Arial"/>
                <w:bCs/>
                <w:iCs/>
                <w:color w:val="000000" w:themeColor="text1"/>
                <w:sz w:val="22"/>
                <w:szCs w:val="22"/>
              </w:rPr>
              <w:t xml:space="preserve"> </w:t>
            </w:r>
            <w:r w:rsidR="00A340DA">
              <w:rPr>
                <w:rFonts w:ascii="Arial" w:hAnsi="Arial" w:cs="Arial"/>
                <w:bCs/>
                <w:iCs/>
                <w:color w:val="000000" w:themeColor="text1"/>
                <w:sz w:val="22"/>
                <w:szCs w:val="22"/>
              </w:rPr>
              <w:t>including one new genus (</w:t>
            </w:r>
            <w:r w:rsidR="00A340DA" w:rsidRPr="00A340DA">
              <w:rPr>
                <w:rFonts w:ascii="Arial" w:hAnsi="Arial" w:cs="Arial"/>
                <w:bCs/>
                <w:i/>
                <w:color w:val="000000" w:themeColor="text1"/>
                <w:sz w:val="22"/>
                <w:szCs w:val="22"/>
              </w:rPr>
              <w:t>Nitmarvirus</w:t>
            </w:r>
            <w:r w:rsidR="00A340DA">
              <w:rPr>
                <w:rFonts w:ascii="Arial" w:hAnsi="Arial" w:cs="Arial"/>
                <w:bCs/>
                <w:iCs/>
                <w:color w:val="000000" w:themeColor="text1"/>
                <w:sz w:val="22"/>
                <w:szCs w:val="22"/>
              </w:rPr>
              <w:t xml:space="preserve">) and one new species </w:t>
            </w:r>
            <w:r w:rsidR="003A2ED3" w:rsidRPr="009E4E49">
              <w:rPr>
                <w:rFonts w:ascii="Arial" w:hAnsi="Arial" w:cs="Arial"/>
                <w:bCs/>
                <w:color w:val="000000" w:themeColor="text1"/>
                <w:sz w:val="22"/>
                <w:szCs w:val="22"/>
              </w:rPr>
              <w:t xml:space="preserve">for spindle-shaped viruses infecting mesophilic archaea </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9E4E49" w:rsidRDefault="002323AB" w:rsidP="00527105">
            <w:pPr>
              <w:pStyle w:val="BodyTextIndent"/>
              <w:ind w:left="0" w:firstLine="0"/>
              <w:rPr>
                <w:rFonts w:ascii="Arial" w:hAnsi="Arial" w:cs="Arial"/>
                <w:color w:val="000000" w:themeColor="text1"/>
                <w:sz w:val="20"/>
              </w:rPr>
            </w:pPr>
          </w:p>
          <w:p w14:paraId="6B395A96" w14:textId="607D48D1" w:rsidR="00391FB5" w:rsidRPr="009E4E49" w:rsidRDefault="00F42F0F" w:rsidP="00527105">
            <w:pPr>
              <w:pStyle w:val="BodyTextIndent"/>
              <w:ind w:left="0" w:firstLine="0"/>
              <w:rPr>
                <w:rFonts w:ascii="Arial" w:hAnsi="Arial" w:cs="Arial"/>
                <w:color w:val="000000" w:themeColor="text1"/>
                <w:sz w:val="20"/>
              </w:rPr>
            </w:pPr>
            <w:r w:rsidRPr="009E4E49">
              <w:rPr>
                <w:rFonts w:ascii="Arial" w:hAnsi="Arial" w:cs="Arial"/>
                <w:color w:val="000000" w:themeColor="text1"/>
                <w:sz w:val="20"/>
              </w:rPr>
              <w:t>Kim JG, Krupovic M, Rhee SK</w:t>
            </w:r>
          </w:p>
          <w:p w14:paraId="6641F59F" w14:textId="77777777" w:rsidR="00391FB5" w:rsidRPr="009E4E49" w:rsidRDefault="00391FB5" w:rsidP="00527105">
            <w:pPr>
              <w:pStyle w:val="BodyTextIndent"/>
              <w:ind w:left="0" w:firstLine="0"/>
              <w:rPr>
                <w:rFonts w:ascii="Arial" w:hAnsi="Arial" w:cs="Arial"/>
                <w:color w:val="000000" w:themeColor="text1"/>
                <w:sz w:val="20"/>
              </w:rPr>
            </w:pPr>
          </w:p>
          <w:p w14:paraId="095C73EF" w14:textId="12551CE3" w:rsidR="00391FB5" w:rsidRPr="009E4E49"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475D7F93" w14:textId="77777777" w:rsidR="007E4573" w:rsidRPr="009E4E49" w:rsidRDefault="00475F56" w:rsidP="00527105">
            <w:pPr>
              <w:jc w:val="both"/>
              <w:rPr>
                <w:rFonts w:ascii="Arial" w:hAnsi="Arial" w:cs="Arial"/>
                <w:color w:val="000000" w:themeColor="text1"/>
                <w:sz w:val="20"/>
              </w:rPr>
            </w:pPr>
            <w:r w:rsidRPr="009E4E49">
              <w:rPr>
                <w:rFonts w:ascii="Arial" w:hAnsi="Arial" w:cs="Arial"/>
                <w:color w:val="000000" w:themeColor="text1"/>
                <w:sz w:val="20"/>
              </w:rPr>
              <w:t>jjonggul2@gmail.com</w:t>
            </w:r>
            <w:r w:rsidR="00F42F0F" w:rsidRPr="009E4E49">
              <w:rPr>
                <w:rFonts w:ascii="Arial" w:hAnsi="Arial" w:cs="Arial"/>
                <w:color w:val="000000" w:themeColor="text1"/>
                <w:sz w:val="20"/>
              </w:rPr>
              <w:t xml:space="preserve">; </w:t>
            </w:r>
          </w:p>
          <w:p w14:paraId="7547E533" w14:textId="7C86C338" w:rsidR="007E4573" w:rsidRPr="009E4E49" w:rsidRDefault="003E55C9" w:rsidP="00527105">
            <w:pPr>
              <w:jc w:val="both"/>
              <w:rPr>
                <w:rFonts w:ascii="Arial" w:hAnsi="Arial" w:cs="Arial"/>
                <w:color w:val="000000" w:themeColor="text1"/>
                <w:sz w:val="20"/>
              </w:rPr>
            </w:pPr>
            <w:hyperlink r:id="rId9" w:history="1">
              <w:r w:rsidR="007E4573" w:rsidRPr="009E4E49">
                <w:rPr>
                  <w:rStyle w:val="Hyperlink"/>
                  <w:rFonts w:ascii="Arial" w:hAnsi="Arial" w:cs="Arial"/>
                  <w:color w:val="000000" w:themeColor="text1"/>
                  <w:sz w:val="20"/>
                </w:rPr>
                <w:t>mart.krupovic@pasteur.fr</w:t>
              </w:r>
            </w:hyperlink>
            <w:r w:rsidR="00F42F0F" w:rsidRPr="009E4E49">
              <w:rPr>
                <w:rFonts w:ascii="Arial" w:hAnsi="Arial" w:cs="Arial"/>
                <w:color w:val="000000" w:themeColor="text1"/>
                <w:sz w:val="20"/>
              </w:rPr>
              <w:t xml:space="preserve">; </w:t>
            </w:r>
          </w:p>
          <w:p w14:paraId="3AD8436F" w14:textId="68F40A9C" w:rsidR="002323AB" w:rsidRPr="009E4E49" w:rsidRDefault="00F42F0F" w:rsidP="00527105">
            <w:pPr>
              <w:jc w:val="both"/>
              <w:rPr>
                <w:rFonts w:ascii="Arial" w:hAnsi="Arial" w:cs="Arial"/>
                <w:color w:val="000000" w:themeColor="text1"/>
                <w:sz w:val="20"/>
              </w:rPr>
            </w:pPr>
            <w:r w:rsidRPr="009E4E49">
              <w:rPr>
                <w:rFonts w:ascii="Arial" w:hAnsi="Arial" w:cs="Arial"/>
                <w:color w:val="000000" w:themeColor="text1"/>
                <w:sz w:val="20"/>
              </w:rPr>
              <w:t>rhees@chungbuk.ac.kr</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5138010" w:rsidR="00391FB5" w:rsidRPr="009E4E49" w:rsidRDefault="00F42F0F" w:rsidP="00CE5ECF">
                  <w:pPr>
                    <w:spacing w:before="120" w:after="120"/>
                    <w:rPr>
                      <w:rFonts w:ascii="Arial" w:hAnsi="Arial" w:cs="Arial"/>
                      <w:bCs/>
                      <w:sz w:val="22"/>
                      <w:szCs w:val="22"/>
                    </w:rPr>
                  </w:pPr>
                  <w:r w:rsidRPr="009E4E49">
                    <w:rPr>
                      <w:rFonts w:ascii="Arial" w:hAnsi="Arial" w:cs="Arial"/>
                      <w:bCs/>
                      <w:sz w:val="22"/>
                      <w:szCs w:val="22"/>
                    </w:rPr>
                    <w:t>Chungbuk National University, South Korea [JGK, SKR]</w:t>
                  </w:r>
                </w:p>
                <w:p w14:paraId="3A27C64A" w14:textId="23A9EF06" w:rsidR="00391FB5" w:rsidRDefault="00F42F0F" w:rsidP="00CE5ECF">
                  <w:pPr>
                    <w:spacing w:before="120" w:after="120"/>
                    <w:rPr>
                      <w:rFonts w:ascii="Arial" w:hAnsi="Arial" w:cs="Arial"/>
                      <w:b/>
                    </w:rPr>
                  </w:pPr>
                  <w:r w:rsidRPr="009E4E49">
                    <w:rPr>
                      <w:rFonts w:ascii="Arial" w:hAnsi="Arial" w:cs="Arial"/>
                      <w:bCs/>
                      <w:sz w:val="22"/>
                      <w:szCs w:val="22"/>
                    </w:rPr>
                    <w:t>Institut Pasteur, France [MK]</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288975CA" w14:textId="14774B57" w:rsidR="00F42F0F" w:rsidRPr="009E4E49" w:rsidRDefault="00F42F0F" w:rsidP="003B1954">
            <w:pPr>
              <w:pStyle w:val="BodyTextIndent"/>
              <w:ind w:left="0" w:firstLine="0"/>
              <w:rPr>
                <w:rFonts w:ascii="Arial" w:hAnsi="Arial" w:cs="Arial"/>
                <w:color w:val="000000"/>
                <w:sz w:val="22"/>
                <w:szCs w:val="22"/>
              </w:rPr>
            </w:pPr>
            <w:r w:rsidRPr="009E4E49">
              <w:rPr>
                <w:rFonts w:ascii="Arial" w:hAnsi="Arial" w:cs="Arial"/>
                <w:color w:val="000000"/>
                <w:sz w:val="22"/>
                <w:szCs w:val="22"/>
              </w:rPr>
              <w:t xml:space="preserve">Mart Krupovic, </w:t>
            </w:r>
          </w:p>
          <w:p w14:paraId="0583AD85" w14:textId="6C8842F0" w:rsidR="00391FB5" w:rsidRPr="009320C8" w:rsidRDefault="00F42F0F" w:rsidP="003B1954">
            <w:pPr>
              <w:pStyle w:val="BodyTextIndent"/>
              <w:ind w:left="0" w:firstLine="0"/>
              <w:rPr>
                <w:rFonts w:ascii="Arial" w:hAnsi="Arial" w:cs="Arial"/>
                <w:color w:val="000000"/>
              </w:rPr>
            </w:pPr>
            <w:r w:rsidRPr="009E4E49">
              <w:rPr>
                <w:rFonts w:ascii="Arial" w:hAnsi="Arial" w:cs="Arial"/>
                <w:color w:val="000000"/>
                <w:sz w:val="22"/>
                <w:szCs w:val="22"/>
              </w:rPr>
              <w:t>Sung-Keun Rhee</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38E62C0" w:rsidR="00D1634C" w:rsidRPr="009320C8" w:rsidRDefault="00074C66" w:rsidP="00C15EC4">
            <w:pPr>
              <w:jc w:val="both"/>
              <w:rPr>
                <w:rFonts w:ascii="Arial" w:hAnsi="Arial" w:cs="Arial"/>
                <w:b/>
              </w:rPr>
            </w:pPr>
            <w:r w:rsidRPr="00074C66">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006CAD35" w14:textId="77777777" w:rsidR="00CE5ECF" w:rsidRDefault="00CE5ECF" w:rsidP="00146615">
            <w:pPr>
              <w:pStyle w:val="BodyTextIndent"/>
              <w:ind w:left="0" w:firstLine="0"/>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r w:rsidR="00146615">
              <w:t>EC comments: a</w:t>
            </w:r>
            <w:r w:rsidR="00146615" w:rsidRPr="00146615">
              <w:t>mend Excel module to mention dsDNA genome (“composition”), Word module to show full virus names</w:t>
            </w:r>
            <w:r w:rsidR="00146615">
              <w:t>.</w:t>
            </w:r>
            <w:r w:rsidR="00146615" w:rsidRPr="00146615">
              <w:t xml:space="preserve"> </w:t>
            </w:r>
          </w:p>
          <w:p w14:paraId="671241DA" w14:textId="0724D672" w:rsidR="00146615" w:rsidRPr="00C61931" w:rsidRDefault="00146615" w:rsidP="00146615">
            <w:pPr>
              <w:pStyle w:val="BodyTextIndent"/>
              <w:ind w:left="0" w:firstLine="0"/>
              <w:rPr>
                <w:rFonts w:ascii="Times New Roman" w:hAnsi="Times New Roman"/>
                <w:color w:val="000000"/>
              </w:rPr>
            </w:pPr>
            <w:r>
              <w:t>Response: Both Excel and Word modules have been corrected.</w:t>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8D5576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7E4573">
              <w:rPr>
                <w:rFonts w:ascii="Arial" w:hAnsi="Arial" w:cs="Arial"/>
                <w:b/>
                <w:sz w:val="22"/>
                <w:szCs w:val="22"/>
              </w:rPr>
              <w:t xml:space="preserve">  </w:t>
            </w:r>
            <w:r w:rsidR="009E4E49" w:rsidRPr="009E4E49">
              <w:rPr>
                <w:rFonts w:ascii="Arial" w:hAnsi="Arial" w:cs="Arial"/>
                <w:bCs/>
                <w:sz w:val="22"/>
                <w:szCs w:val="22"/>
              </w:rPr>
              <w:t>2019.092</w:t>
            </w:r>
            <w:r w:rsidR="008B47A2">
              <w:rPr>
                <w:rFonts w:ascii="Arial" w:hAnsi="Arial" w:cs="Arial"/>
                <w:bCs/>
                <w:sz w:val="22"/>
                <w:szCs w:val="22"/>
              </w:rPr>
              <w:t>B</w:t>
            </w:r>
            <w:bookmarkStart w:id="4" w:name="_GoBack"/>
            <w:bookmarkEnd w:id="4"/>
            <w:r w:rsidR="009E4E49" w:rsidRPr="009E4E49">
              <w:rPr>
                <w:rFonts w:ascii="Arial" w:hAnsi="Arial" w:cs="Arial"/>
                <w:bCs/>
                <w:sz w:val="22"/>
                <w:szCs w:val="22"/>
              </w:rPr>
              <w:t>.</w:t>
            </w:r>
            <w:r w:rsidR="00D75542">
              <w:rPr>
                <w:rFonts w:ascii="Arial" w:hAnsi="Arial" w:cs="Arial"/>
                <w:bCs/>
                <w:sz w:val="22"/>
                <w:szCs w:val="22"/>
              </w:rPr>
              <w:t>A</w:t>
            </w:r>
            <w:r w:rsidR="009E4E49" w:rsidRPr="009E4E49">
              <w:rPr>
                <w:rFonts w:ascii="Arial" w:hAnsi="Arial" w:cs="Arial"/>
                <w:bCs/>
                <w:sz w:val="22"/>
                <w:szCs w:val="22"/>
              </w:rPr>
              <w:t>.v1.</w:t>
            </w:r>
            <w:r w:rsidR="007E4573" w:rsidRPr="009E4E49">
              <w:rPr>
                <w:rFonts w:ascii="Arial" w:hAnsi="Arial" w:cs="Arial"/>
                <w:bCs/>
                <w:sz w:val="22"/>
                <w:szCs w:val="22"/>
              </w:rPr>
              <w:t>Thaspiviridae</w:t>
            </w:r>
            <w:r w:rsidR="009E4E49" w:rsidRPr="009E4E49">
              <w:rPr>
                <w:rFonts w:ascii="Arial" w:hAnsi="Arial" w:cs="Arial"/>
                <w:bCs/>
                <w:sz w:val="22"/>
                <w:szCs w:val="22"/>
              </w:rPr>
              <w:t>_1nfam.xlsx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212AC914" w14:textId="09F7FC01" w:rsidR="0043065C" w:rsidRDefault="002F2CF0" w:rsidP="008A612E">
      <w:pPr>
        <w:pStyle w:val="BodyTextIndent"/>
        <w:ind w:left="0" w:firstLine="0"/>
        <w:rPr>
          <w:rFonts w:ascii="Arial" w:hAnsi="Arial" w:cs="Arial"/>
          <w:color w:val="000000"/>
          <w:sz w:val="22"/>
          <w:szCs w:val="22"/>
        </w:rPr>
      </w:pPr>
      <w:r>
        <w:rPr>
          <w:rFonts w:ascii="Arial" w:hAnsi="Arial" w:cs="Arial"/>
          <w:color w:val="000000"/>
          <w:sz w:val="22"/>
          <w:szCs w:val="22"/>
        </w:rPr>
        <w:t>Viruses with s</w:t>
      </w:r>
      <w:r w:rsidR="00930C73" w:rsidRPr="00930C73">
        <w:rPr>
          <w:rFonts w:ascii="Arial" w:hAnsi="Arial" w:cs="Arial"/>
          <w:color w:val="000000"/>
          <w:sz w:val="22"/>
          <w:szCs w:val="22"/>
        </w:rPr>
        <w:t xml:space="preserve">pindle-shaped </w:t>
      </w:r>
      <w:r>
        <w:rPr>
          <w:rFonts w:ascii="Arial" w:hAnsi="Arial" w:cs="Arial"/>
          <w:color w:val="000000"/>
          <w:sz w:val="22"/>
          <w:szCs w:val="22"/>
        </w:rPr>
        <w:t xml:space="preserve">virions </w:t>
      </w:r>
      <w:r w:rsidR="00930C73">
        <w:rPr>
          <w:rFonts w:ascii="Arial" w:hAnsi="Arial" w:cs="Arial"/>
          <w:color w:val="000000"/>
          <w:sz w:val="22"/>
          <w:szCs w:val="22"/>
        </w:rPr>
        <w:t xml:space="preserve">are </w:t>
      </w:r>
      <w:r>
        <w:rPr>
          <w:rFonts w:ascii="Arial" w:hAnsi="Arial" w:cs="Arial"/>
          <w:color w:val="000000"/>
          <w:sz w:val="22"/>
          <w:szCs w:val="22"/>
        </w:rPr>
        <w:t xml:space="preserve">exclusive </w:t>
      </w:r>
      <w:r w:rsidR="00930C73">
        <w:rPr>
          <w:rFonts w:ascii="Arial" w:hAnsi="Arial" w:cs="Arial"/>
          <w:color w:val="000000"/>
          <w:sz w:val="22"/>
          <w:szCs w:val="22"/>
        </w:rPr>
        <w:t xml:space="preserve">to archaea and have been previously shown to infect hyperthermophilic (family </w:t>
      </w:r>
      <w:r w:rsidR="00930C73" w:rsidRPr="00930C73">
        <w:rPr>
          <w:rFonts w:ascii="Arial" w:hAnsi="Arial" w:cs="Arial"/>
          <w:i/>
          <w:color w:val="000000"/>
          <w:sz w:val="22"/>
          <w:szCs w:val="22"/>
        </w:rPr>
        <w:t>Fuselloviridae</w:t>
      </w:r>
      <w:r w:rsidR="00930C73">
        <w:rPr>
          <w:rFonts w:ascii="Arial" w:hAnsi="Arial" w:cs="Arial"/>
          <w:color w:val="000000"/>
          <w:sz w:val="22"/>
          <w:szCs w:val="22"/>
        </w:rPr>
        <w:t xml:space="preserve">) and extremely halophilic (genus </w:t>
      </w:r>
      <w:r w:rsidR="00930C73" w:rsidRPr="00930C73">
        <w:rPr>
          <w:rFonts w:ascii="Arial" w:hAnsi="Arial" w:cs="Arial"/>
          <w:i/>
          <w:color w:val="000000"/>
          <w:sz w:val="22"/>
          <w:szCs w:val="22"/>
        </w:rPr>
        <w:t>Salterprovirus</w:t>
      </w:r>
      <w:r w:rsidR="00930C73">
        <w:rPr>
          <w:rFonts w:ascii="Arial" w:hAnsi="Arial" w:cs="Arial"/>
          <w:color w:val="000000"/>
          <w:sz w:val="22"/>
          <w:szCs w:val="22"/>
        </w:rPr>
        <w:t xml:space="preserve">) hosts (Krupovic et al., 2014). Recently, </w:t>
      </w:r>
      <w:r w:rsidR="007E4573">
        <w:rPr>
          <w:rFonts w:ascii="Arial" w:hAnsi="Arial" w:cs="Arial"/>
          <w:color w:val="000000"/>
          <w:sz w:val="22"/>
          <w:szCs w:val="22"/>
        </w:rPr>
        <w:t>three</w:t>
      </w:r>
      <w:r w:rsidR="00C11B12">
        <w:rPr>
          <w:rFonts w:ascii="Arial" w:hAnsi="Arial" w:cs="Arial"/>
          <w:color w:val="000000"/>
          <w:sz w:val="22"/>
          <w:szCs w:val="22"/>
        </w:rPr>
        <w:t xml:space="preserve"> viruses with spindle-shaped virions and</w:t>
      </w:r>
      <w:r w:rsidR="00930C73">
        <w:rPr>
          <w:rFonts w:ascii="Arial" w:hAnsi="Arial" w:cs="Arial"/>
          <w:color w:val="000000"/>
          <w:sz w:val="22"/>
          <w:szCs w:val="22"/>
        </w:rPr>
        <w:t xml:space="preserve"> infecting a mesophilic marine archaeon of the phylum Thaumarchaeota,</w:t>
      </w:r>
      <w:r>
        <w:rPr>
          <w:rFonts w:ascii="Arial" w:hAnsi="Arial" w:cs="Arial"/>
          <w:color w:val="000000"/>
          <w:sz w:val="22"/>
          <w:szCs w:val="22"/>
        </w:rPr>
        <w:t xml:space="preserve"> </w:t>
      </w:r>
      <w:r w:rsidRPr="00930C73">
        <w:rPr>
          <w:rFonts w:ascii="Arial" w:hAnsi="Arial" w:cs="Arial"/>
          <w:i/>
          <w:color w:val="000000"/>
          <w:sz w:val="22"/>
          <w:szCs w:val="22"/>
        </w:rPr>
        <w:t>Nitrosopumilus maritimus</w:t>
      </w:r>
      <w:r w:rsidRPr="00930C73">
        <w:rPr>
          <w:rFonts w:ascii="Arial" w:hAnsi="Arial" w:cs="Arial"/>
          <w:color w:val="000000"/>
          <w:sz w:val="22"/>
          <w:szCs w:val="22"/>
        </w:rPr>
        <w:t xml:space="preserve"> SCM1</w:t>
      </w:r>
      <w:r>
        <w:rPr>
          <w:rFonts w:ascii="Arial" w:hAnsi="Arial" w:cs="Arial"/>
          <w:color w:val="000000"/>
          <w:sz w:val="22"/>
          <w:szCs w:val="22"/>
        </w:rPr>
        <w:t>,</w:t>
      </w:r>
      <w:r w:rsidR="00930C73">
        <w:rPr>
          <w:rFonts w:ascii="Arial" w:hAnsi="Arial" w:cs="Arial"/>
          <w:color w:val="000000"/>
          <w:sz w:val="22"/>
          <w:szCs w:val="22"/>
        </w:rPr>
        <w:t xml:space="preserve"> ha</w:t>
      </w:r>
      <w:r w:rsidR="00C11B12">
        <w:rPr>
          <w:rFonts w:ascii="Arial" w:hAnsi="Arial" w:cs="Arial"/>
          <w:color w:val="000000"/>
          <w:sz w:val="22"/>
          <w:szCs w:val="22"/>
        </w:rPr>
        <w:t>ve</w:t>
      </w:r>
      <w:r w:rsidR="00930C73">
        <w:rPr>
          <w:rFonts w:ascii="Arial" w:hAnsi="Arial" w:cs="Arial"/>
          <w:color w:val="000000"/>
          <w:sz w:val="22"/>
          <w:szCs w:val="22"/>
        </w:rPr>
        <w:t xml:space="preserve"> been isolated</w:t>
      </w:r>
      <w:r w:rsidR="00E11447">
        <w:rPr>
          <w:rFonts w:ascii="Arial" w:hAnsi="Arial" w:cs="Arial"/>
          <w:color w:val="000000"/>
          <w:sz w:val="22"/>
          <w:szCs w:val="22"/>
        </w:rPr>
        <w:t xml:space="preserve"> </w:t>
      </w:r>
      <w:r w:rsidR="00C11B12">
        <w:rPr>
          <w:rFonts w:ascii="Arial" w:hAnsi="Arial" w:cs="Arial"/>
          <w:color w:val="000000"/>
          <w:sz w:val="22"/>
          <w:szCs w:val="22"/>
        </w:rPr>
        <w:t>(Kim et al., 2019)</w:t>
      </w:r>
      <w:r w:rsidR="00930C73">
        <w:rPr>
          <w:rFonts w:ascii="Arial" w:hAnsi="Arial" w:cs="Arial"/>
          <w:color w:val="000000"/>
          <w:sz w:val="22"/>
          <w:szCs w:val="22"/>
        </w:rPr>
        <w:t>.</w:t>
      </w:r>
      <w:r w:rsidR="00C11B12">
        <w:rPr>
          <w:rFonts w:ascii="Arial" w:hAnsi="Arial" w:cs="Arial"/>
          <w:color w:val="000000"/>
          <w:sz w:val="22"/>
          <w:szCs w:val="22"/>
        </w:rPr>
        <w:t xml:space="preserve"> These are the first virus isolates infecting mesophilic archaea. </w:t>
      </w:r>
      <w:r w:rsidR="00E11447">
        <w:rPr>
          <w:rFonts w:ascii="Arial" w:hAnsi="Arial" w:cs="Arial"/>
          <w:color w:val="000000"/>
          <w:sz w:val="22"/>
          <w:szCs w:val="22"/>
        </w:rPr>
        <w:t xml:space="preserve">The virions of Nitrosopumilus spindle-shaped viruses 1, 2 and 3 (NSV1, NSV2 and NSV3, respectively) measure </w:t>
      </w:r>
      <w:r w:rsidR="00E11447" w:rsidRPr="00E11447">
        <w:rPr>
          <w:rFonts w:ascii="Arial" w:hAnsi="Arial" w:cs="Arial"/>
          <w:color w:val="000000"/>
          <w:sz w:val="22"/>
          <w:szCs w:val="22"/>
        </w:rPr>
        <w:t>64 ± 3 nm in diameter and 112 ± 6 nm in length, with a short tail at one pole</w:t>
      </w:r>
      <w:r w:rsidR="00E11447">
        <w:rPr>
          <w:rFonts w:ascii="Arial" w:hAnsi="Arial" w:cs="Arial"/>
          <w:color w:val="000000"/>
          <w:sz w:val="22"/>
          <w:szCs w:val="22"/>
        </w:rPr>
        <w:t xml:space="preserve"> (Figure 1). </w:t>
      </w:r>
      <w:r w:rsidR="0043065C">
        <w:rPr>
          <w:rFonts w:ascii="Arial" w:hAnsi="Arial" w:cs="Arial"/>
          <w:color w:val="000000"/>
          <w:sz w:val="22"/>
          <w:szCs w:val="22"/>
        </w:rPr>
        <w:t xml:space="preserve">This morphology is closely similar to that of fuselloviruses and salterprovirus His1. </w:t>
      </w:r>
    </w:p>
    <w:p w14:paraId="5F1A32BE" w14:textId="77777777" w:rsidR="0043065C" w:rsidRDefault="0043065C" w:rsidP="008A612E">
      <w:pPr>
        <w:pStyle w:val="BodyTextIndent"/>
        <w:ind w:left="0" w:firstLine="0"/>
        <w:rPr>
          <w:rFonts w:ascii="Arial" w:hAnsi="Arial" w:cs="Arial"/>
          <w:color w:val="000000"/>
          <w:sz w:val="22"/>
          <w:szCs w:val="22"/>
        </w:rPr>
      </w:pPr>
    </w:p>
    <w:p w14:paraId="6B9B3DF5" w14:textId="0DE8B78C" w:rsidR="000B3F34" w:rsidRDefault="0043065C" w:rsidP="000B3F34">
      <w:pPr>
        <w:rPr>
          <w:rFonts w:ascii="Arial" w:hAnsi="Arial" w:cs="Arial"/>
          <w:sz w:val="22"/>
          <w:szCs w:val="22"/>
        </w:rPr>
      </w:pPr>
      <w:r>
        <w:rPr>
          <w:rFonts w:ascii="Arial" w:hAnsi="Arial" w:cs="Arial"/>
          <w:color w:val="000000"/>
          <w:sz w:val="22"/>
          <w:szCs w:val="22"/>
        </w:rPr>
        <w:t xml:space="preserve">The genomes of NSVs are </w:t>
      </w:r>
      <w:r w:rsidR="00C11B12">
        <w:rPr>
          <w:rFonts w:ascii="Arial" w:hAnsi="Arial" w:cs="Arial"/>
          <w:color w:val="000000"/>
          <w:sz w:val="22"/>
          <w:szCs w:val="22"/>
        </w:rPr>
        <w:t xml:space="preserve">linear double-stranded DNA </w:t>
      </w:r>
      <w:r>
        <w:rPr>
          <w:rFonts w:ascii="Arial" w:hAnsi="Arial" w:cs="Arial"/>
          <w:color w:val="000000"/>
          <w:sz w:val="22"/>
          <w:szCs w:val="22"/>
        </w:rPr>
        <w:t>molecules</w:t>
      </w:r>
      <w:r w:rsidR="00C11B12">
        <w:rPr>
          <w:rFonts w:ascii="Arial" w:hAnsi="Arial" w:cs="Arial"/>
          <w:color w:val="000000"/>
          <w:sz w:val="22"/>
          <w:szCs w:val="22"/>
        </w:rPr>
        <w:t xml:space="preserve"> </w:t>
      </w:r>
      <w:r>
        <w:rPr>
          <w:rFonts w:ascii="Arial" w:hAnsi="Arial" w:cs="Arial"/>
          <w:color w:val="000000"/>
          <w:sz w:val="22"/>
          <w:szCs w:val="22"/>
        </w:rPr>
        <w:t xml:space="preserve">of </w:t>
      </w:r>
      <w:r w:rsidR="00C11B12">
        <w:rPr>
          <w:rFonts w:ascii="Arial" w:hAnsi="Arial" w:cs="Arial"/>
          <w:color w:val="000000"/>
          <w:sz w:val="22"/>
          <w:szCs w:val="22"/>
        </w:rPr>
        <w:t>27.5</w:t>
      </w:r>
      <w:r w:rsidR="002F2CF0">
        <w:rPr>
          <w:rFonts w:ascii="Arial" w:hAnsi="Arial" w:cs="Arial"/>
          <w:color w:val="000000"/>
          <w:sz w:val="22"/>
          <w:szCs w:val="22"/>
        </w:rPr>
        <w:t>-</w:t>
      </w:r>
      <w:r w:rsidR="00C11B12">
        <w:rPr>
          <w:rFonts w:ascii="Arial" w:hAnsi="Arial" w:cs="Arial"/>
          <w:color w:val="000000"/>
          <w:sz w:val="22"/>
          <w:szCs w:val="22"/>
        </w:rPr>
        <w:t>29 kbp</w:t>
      </w:r>
      <w:r>
        <w:rPr>
          <w:rFonts w:ascii="Arial" w:hAnsi="Arial" w:cs="Arial"/>
          <w:color w:val="000000"/>
          <w:sz w:val="22"/>
          <w:szCs w:val="22"/>
        </w:rPr>
        <w:t>,</w:t>
      </w:r>
      <w:r w:rsidR="00C11B12">
        <w:rPr>
          <w:rFonts w:ascii="Arial" w:hAnsi="Arial" w:cs="Arial"/>
          <w:color w:val="000000"/>
          <w:sz w:val="22"/>
          <w:szCs w:val="22"/>
        </w:rPr>
        <w:t xml:space="preserve"> </w:t>
      </w:r>
      <w:r>
        <w:rPr>
          <w:rFonts w:ascii="Arial" w:hAnsi="Arial" w:cs="Arial"/>
          <w:color w:val="000000"/>
          <w:sz w:val="22"/>
          <w:szCs w:val="22"/>
        </w:rPr>
        <w:t>terminating with</w:t>
      </w:r>
      <w:r w:rsidR="00C11B12">
        <w:rPr>
          <w:rFonts w:ascii="Arial" w:hAnsi="Arial" w:cs="Arial"/>
          <w:color w:val="000000"/>
          <w:sz w:val="22"/>
          <w:szCs w:val="22"/>
        </w:rPr>
        <w:t xml:space="preserve"> </w:t>
      </w:r>
      <w:r w:rsidR="002F2CF0" w:rsidRPr="00A43920">
        <w:rPr>
          <w:rFonts w:ascii="Arial" w:hAnsi="Arial" w:cs="Arial"/>
          <w:color w:val="000000"/>
          <w:sz w:val="22"/>
          <w:szCs w:val="22"/>
        </w:rPr>
        <w:t xml:space="preserve">176-bp </w:t>
      </w:r>
      <w:r w:rsidR="00C11B12">
        <w:rPr>
          <w:rFonts w:ascii="Arial" w:hAnsi="Arial" w:cs="Arial"/>
          <w:color w:val="000000"/>
          <w:sz w:val="22"/>
          <w:szCs w:val="22"/>
        </w:rPr>
        <w:t>inverted repeats</w:t>
      </w:r>
      <w:r w:rsidR="00E11447">
        <w:rPr>
          <w:rFonts w:ascii="Arial" w:hAnsi="Arial" w:cs="Arial"/>
          <w:color w:val="000000"/>
          <w:sz w:val="22"/>
          <w:szCs w:val="22"/>
        </w:rPr>
        <w:t xml:space="preserve"> (Figure 2)</w:t>
      </w:r>
      <w:r w:rsidR="00C11B12">
        <w:rPr>
          <w:rFonts w:ascii="Arial" w:hAnsi="Arial" w:cs="Arial"/>
          <w:color w:val="000000"/>
          <w:sz w:val="22"/>
          <w:szCs w:val="22"/>
        </w:rPr>
        <w:t xml:space="preserve">. </w:t>
      </w:r>
      <w:r w:rsidR="00307948">
        <w:rPr>
          <w:rFonts w:ascii="Arial" w:hAnsi="Arial" w:cs="Arial"/>
          <w:color w:val="000000"/>
          <w:sz w:val="22"/>
          <w:szCs w:val="22"/>
        </w:rPr>
        <w:t xml:space="preserve">Among spindle-shaped viruses such genome organization is found only in salterprovirus His1, whereas all known fuselloviruses contain circular dsDNA genomes. </w:t>
      </w:r>
      <w:r w:rsidR="00C11B12">
        <w:rPr>
          <w:rFonts w:ascii="Arial" w:hAnsi="Arial" w:cs="Arial"/>
          <w:color w:val="000000"/>
          <w:sz w:val="22"/>
          <w:szCs w:val="22"/>
        </w:rPr>
        <w:t xml:space="preserve">Genomes of the three </w:t>
      </w:r>
      <w:r w:rsidR="00307948">
        <w:rPr>
          <w:rFonts w:ascii="Arial" w:hAnsi="Arial" w:cs="Arial"/>
          <w:color w:val="000000"/>
          <w:sz w:val="22"/>
          <w:szCs w:val="22"/>
        </w:rPr>
        <w:t>NSVs</w:t>
      </w:r>
      <w:r w:rsidR="00C11B12">
        <w:rPr>
          <w:rFonts w:ascii="Arial" w:hAnsi="Arial" w:cs="Arial"/>
          <w:color w:val="000000"/>
          <w:sz w:val="22"/>
          <w:szCs w:val="22"/>
        </w:rPr>
        <w:t xml:space="preserve"> are &gt;95% identical to each other and thus should be considered strains of the same species.</w:t>
      </w:r>
      <w:r>
        <w:rPr>
          <w:rFonts w:ascii="Arial" w:hAnsi="Arial" w:cs="Arial"/>
          <w:color w:val="000000"/>
          <w:sz w:val="22"/>
          <w:szCs w:val="22"/>
        </w:rPr>
        <w:t xml:space="preserve"> </w:t>
      </w:r>
      <w:r w:rsidR="00A43920" w:rsidRPr="00A43920">
        <w:rPr>
          <w:rFonts w:ascii="Arial" w:hAnsi="Arial" w:cs="Arial"/>
          <w:color w:val="000000"/>
          <w:sz w:val="22"/>
          <w:szCs w:val="22"/>
        </w:rPr>
        <w:t>The numbers of open reading frames (ORFs) in the genomes of NSV1, NSV2 and NSV3 were predicted to be 48, 51, and 48, respectively.</w:t>
      </w:r>
      <w:r w:rsidR="00A43920">
        <w:rPr>
          <w:rFonts w:ascii="Arial" w:hAnsi="Arial" w:cs="Arial"/>
          <w:color w:val="000000"/>
          <w:sz w:val="22"/>
          <w:szCs w:val="22"/>
        </w:rPr>
        <w:t xml:space="preserve"> </w:t>
      </w:r>
      <w:r w:rsidR="00826EA9">
        <w:rPr>
          <w:rFonts w:ascii="Arial" w:hAnsi="Arial" w:cs="Arial"/>
          <w:color w:val="000000"/>
          <w:sz w:val="22"/>
          <w:szCs w:val="22"/>
        </w:rPr>
        <w:t>With the exception of the protein-primed family B DNA polymerase</w:t>
      </w:r>
      <w:r w:rsidR="00826EA9" w:rsidRPr="00A43920">
        <w:rPr>
          <w:rFonts w:ascii="Arial" w:hAnsi="Arial" w:cs="Arial"/>
          <w:color w:val="000000"/>
          <w:sz w:val="22"/>
          <w:szCs w:val="22"/>
        </w:rPr>
        <w:t xml:space="preserve"> </w:t>
      </w:r>
      <w:r w:rsidR="00826EA9">
        <w:rPr>
          <w:rFonts w:ascii="Arial" w:hAnsi="Arial" w:cs="Arial"/>
          <w:color w:val="000000"/>
          <w:sz w:val="22"/>
          <w:szCs w:val="22"/>
        </w:rPr>
        <w:t xml:space="preserve">(pPolB), </w:t>
      </w:r>
      <w:r w:rsidR="00A43920" w:rsidRPr="00A43920">
        <w:rPr>
          <w:rFonts w:ascii="Arial" w:hAnsi="Arial" w:cs="Arial"/>
          <w:color w:val="000000"/>
          <w:sz w:val="22"/>
          <w:szCs w:val="22"/>
        </w:rPr>
        <w:t xml:space="preserve">NSV </w:t>
      </w:r>
      <w:r w:rsidR="00826EA9">
        <w:rPr>
          <w:rFonts w:ascii="Arial" w:hAnsi="Arial" w:cs="Arial"/>
          <w:color w:val="000000"/>
          <w:sz w:val="22"/>
          <w:szCs w:val="22"/>
        </w:rPr>
        <w:t xml:space="preserve">proteins </w:t>
      </w:r>
      <w:r w:rsidR="00A43920" w:rsidRPr="00A43920">
        <w:rPr>
          <w:rFonts w:ascii="Arial" w:hAnsi="Arial" w:cs="Arial"/>
          <w:color w:val="000000"/>
          <w:sz w:val="22"/>
          <w:szCs w:val="22"/>
        </w:rPr>
        <w:t>d</w:t>
      </w:r>
      <w:r w:rsidR="002F2CF0">
        <w:rPr>
          <w:rFonts w:ascii="Arial" w:hAnsi="Arial" w:cs="Arial"/>
          <w:color w:val="000000"/>
          <w:sz w:val="22"/>
          <w:szCs w:val="22"/>
        </w:rPr>
        <w:t>o</w:t>
      </w:r>
      <w:r w:rsidR="00A43920" w:rsidRPr="00A43920">
        <w:rPr>
          <w:rFonts w:ascii="Arial" w:hAnsi="Arial" w:cs="Arial"/>
          <w:color w:val="000000"/>
          <w:sz w:val="22"/>
          <w:szCs w:val="22"/>
        </w:rPr>
        <w:t xml:space="preserve"> not display appreciable sequence similarity to </w:t>
      </w:r>
      <w:r w:rsidR="00826EA9">
        <w:rPr>
          <w:rFonts w:ascii="Arial" w:hAnsi="Arial" w:cs="Arial"/>
          <w:color w:val="000000"/>
          <w:sz w:val="22"/>
          <w:szCs w:val="22"/>
        </w:rPr>
        <w:t xml:space="preserve">the proteins of </w:t>
      </w:r>
      <w:r w:rsidR="00A43920" w:rsidRPr="00A43920">
        <w:rPr>
          <w:rFonts w:ascii="Arial" w:hAnsi="Arial" w:cs="Arial"/>
          <w:color w:val="000000"/>
          <w:sz w:val="22"/>
          <w:szCs w:val="22"/>
        </w:rPr>
        <w:t xml:space="preserve">other known archaeal or bacterial viruses in BLASTP searches (E value cut-off: 0.001). </w:t>
      </w:r>
      <w:r w:rsidR="00A43920">
        <w:rPr>
          <w:rFonts w:ascii="Arial" w:hAnsi="Arial" w:cs="Arial"/>
          <w:color w:val="000000"/>
          <w:sz w:val="22"/>
          <w:szCs w:val="22"/>
        </w:rPr>
        <w:t>O</w:t>
      </w:r>
      <w:r w:rsidR="00A43920" w:rsidRPr="00A43920">
        <w:rPr>
          <w:rFonts w:ascii="Arial" w:hAnsi="Arial" w:cs="Arial"/>
          <w:color w:val="000000"/>
          <w:sz w:val="22"/>
          <w:szCs w:val="22"/>
        </w:rPr>
        <w:t>nly 9 out of 48 (18.7%) NSV1 ORFs yielded significant matches in the non-redundant sequence databases to known cellular proteins</w:t>
      </w:r>
      <w:r w:rsidR="00A43920">
        <w:rPr>
          <w:rFonts w:ascii="Arial" w:hAnsi="Arial" w:cs="Arial"/>
          <w:color w:val="000000"/>
          <w:sz w:val="22"/>
          <w:szCs w:val="22"/>
        </w:rPr>
        <w:t>.</w:t>
      </w:r>
      <w:r w:rsidR="002F2CF0">
        <w:rPr>
          <w:rFonts w:ascii="Arial" w:hAnsi="Arial" w:cs="Arial"/>
          <w:color w:val="000000"/>
          <w:sz w:val="22"/>
          <w:szCs w:val="22"/>
        </w:rPr>
        <w:t xml:space="preserve"> </w:t>
      </w:r>
      <w:r w:rsidR="00826EA9">
        <w:rPr>
          <w:rFonts w:ascii="Arial" w:hAnsi="Arial" w:cs="Arial"/>
          <w:color w:val="000000"/>
          <w:sz w:val="22"/>
          <w:szCs w:val="22"/>
        </w:rPr>
        <w:t xml:space="preserve">Notably, however, </w:t>
      </w:r>
      <w:r w:rsidR="00826EA9" w:rsidRPr="00826EA9">
        <w:rPr>
          <w:rFonts w:ascii="Arial" w:hAnsi="Arial" w:cs="Arial"/>
          <w:color w:val="000000"/>
          <w:sz w:val="22"/>
          <w:szCs w:val="22"/>
        </w:rPr>
        <w:t xml:space="preserve">the pPolB of NSVs is shared with several groups of archaeal viruses and non-viral mobile genetic elements, which, like NSV, have linear genomes with terminal inverted </w:t>
      </w:r>
      <w:r w:rsidR="00826EA9" w:rsidRPr="00826EA9">
        <w:rPr>
          <w:rFonts w:ascii="Arial" w:hAnsi="Arial" w:cs="Arial"/>
          <w:color w:val="000000"/>
          <w:sz w:val="22"/>
          <w:szCs w:val="22"/>
        </w:rPr>
        <w:lastRenderedPageBreak/>
        <w:t xml:space="preserve">repeats. These include the haloarchaeal spindle-shaped (genus </w:t>
      </w:r>
      <w:r w:rsidR="00826EA9" w:rsidRPr="00826EA9">
        <w:rPr>
          <w:rFonts w:ascii="Arial" w:hAnsi="Arial" w:cs="Arial"/>
          <w:i/>
          <w:color w:val="000000"/>
          <w:sz w:val="22"/>
          <w:szCs w:val="22"/>
        </w:rPr>
        <w:t>Salterprovirus</w:t>
      </w:r>
      <w:r w:rsidR="00826EA9" w:rsidRPr="00826EA9">
        <w:rPr>
          <w:rFonts w:ascii="Arial" w:hAnsi="Arial" w:cs="Arial"/>
          <w:color w:val="000000"/>
          <w:sz w:val="22"/>
          <w:szCs w:val="22"/>
        </w:rPr>
        <w:t xml:space="preserve">) and pleomorphic (family </w:t>
      </w:r>
      <w:r w:rsidR="00826EA9" w:rsidRPr="00826EA9">
        <w:rPr>
          <w:rFonts w:ascii="Arial" w:hAnsi="Arial" w:cs="Arial"/>
          <w:i/>
          <w:color w:val="000000"/>
          <w:sz w:val="22"/>
          <w:szCs w:val="22"/>
        </w:rPr>
        <w:t>Pleolipoviridae</w:t>
      </w:r>
      <w:r w:rsidR="00826EA9" w:rsidRPr="00826EA9">
        <w:rPr>
          <w:rFonts w:ascii="Arial" w:hAnsi="Arial" w:cs="Arial"/>
          <w:color w:val="000000"/>
          <w:sz w:val="22"/>
          <w:szCs w:val="22"/>
        </w:rPr>
        <w:t xml:space="preserve">, genus </w:t>
      </w:r>
      <w:r w:rsidR="00826EA9" w:rsidRPr="00826EA9">
        <w:rPr>
          <w:rFonts w:ascii="Arial" w:hAnsi="Arial" w:cs="Arial"/>
          <w:i/>
          <w:color w:val="000000"/>
          <w:sz w:val="22"/>
          <w:szCs w:val="22"/>
        </w:rPr>
        <w:t>Gammapleolipovirus</w:t>
      </w:r>
      <w:r w:rsidR="00826EA9" w:rsidRPr="00826EA9">
        <w:rPr>
          <w:rFonts w:ascii="Arial" w:hAnsi="Arial" w:cs="Arial"/>
          <w:color w:val="000000"/>
          <w:sz w:val="22"/>
          <w:szCs w:val="22"/>
        </w:rPr>
        <w:t>) viruses His1 (</w:t>
      </w:r>
      <w:r w:rsidR="00826EA9">
        <w:rPr>
          <w:rFonts w:ascii="Arial" w:hAnsi="Arial" w:cs="Arial"/>
          <w:color w:val="000000"/>
          <w:sz w:val="22"/>
          <w:szCs w:val="22"/>
        </w:rPr>
        <w:t>Bath et al., 2006</w:t>
      </w:r>
      <w:r w:rsidR="00826EA9" w:rsidRPr="00826EA9">
        <w:rPr>
          <w:rFonts w:ascii="Arial" w:hAnsi="Arial" w:cs="Arial"/>
          <w:color w:val="000000"/>
          <w:sz w:val="22"/>
          <w:szCs w:val="22"/>
        </w:rPr>
        <w:t>) and His2 (</w:t>
      </w:r>
      <w:r w:rsidR="00826EA9">
        <w:rPr>
          <w:rFonts w:ascii="Arial" w:hAnsi="Arial" w:cs="Arial"/>
          <w:color w:val="000000"/>
          <w:sz w:val="22"/>
          <w:szCs w:val="22"/>
        </w:rPr>
        <w:t>Bath et al., 2006</w:t>
      </w:r>
      <w:r w:rsidR="00826EA9" w:rsidRPr="00826EA9">
        <w:rPr>
          <w:rFonts w:ascii="Arial" w:hAnsi="Arial" w:cs="Arial"/>
          <w:color w:val="000000"/>
          <w:sz w:val="22"/>
          <w:szCs w:val="22"/>
        </w:rPr>
        <w:t xml:space="preserve">), respectively; hyperthermophilic bottle-shaped (family </w:t>
      </w:r>
      <w:r w:rsidR="00826EA9" w:rsidRPr="00826EA9">
        <w:rPr>
          <w:rFonts w:ascii="Arial" w:hAnsi="Arial" w:cs="Arial"/>
          <w:i/>
          <w:color w:val="000000"/>
          <w:sz w:val="22"/>
          <w:szCs w:val="22"/>
        </w:rPr>
        <w:t>Ampullaviridae</w:t>
      </w:r>
      <w:r w:rsidR="00826EA9" w:rsidRPr="00826EA9">
        <w:rPr>
          <w:rFonts w:ascii="Arial" w:hAnsi="Arial" w:cs="Arial"/>
          <w:color w:val="000000"/>
          <w:sz w:val="22"/>
          <w:szCs w:val="22"/>
        </w:rPr>
        <w:t>) (</w:t>
      </w:r>
      <w:r w:rsidR="00826EA9">
        <w:rPr>
          <w:rFonts w:ascii="Arial" w:hAnsi="Arial" w:cs="Arial"/>
          <w:color w:val="000000"/>
          <w:sz w:val="22"/>
          <w:szCs w:val="22"/>
        </w:rPr>
        <w:t>Prangishvili et al., 2018</w:t>
      </w:r>
      <w:r w:rsidR="00826EA9" w:rsidRPr="00826EA9">
        <w:rPr>
          <w:rFonts w:ascii="Arial" w:hAnsi="Arial" w:cs="Arial"/>
          <w:color w:val="000000"/>
          <w:sz w:val="22"/>
          <w:szCs w:val="22"/>
        </w:rPr>
        <w:t xml:space="preserve">) and ellipsoid (family </w:t>
      </w:r>
      <w:r w:rsidR="00826EA9" w:rsidRPr="00826EA9">
        <w:rPr>
          <w:rFonts w:ascii="Arial" w:hAnsi="Arial" w:cs="Arial"/>
          <w:i/>
          <w:color w:val="000000"/>
          <w:sz w:val="22"/>
          <w:szCs w:val="22"/>
        </w:rPr>
        <w:t>Ovaliviridae</w:t>
      </w:r>
      <w:r w:rsidR="00826EA9" w:rsidRPr="00826EA9">
        <w:rPr>
          <w:rFonts w:ascii="Arial" w:hAnsi="Arial" w:cs="Arial"/>
          <w:color w:val="000000"/>
          <w:sz w:val="22"/>
          <w:szCs w:val="22"/>
        </w:rPr>
        <w:t>) (</w:t>
      </w:r>
      <w:r w:rsidR="00826EA9">
        <w:rPr>
          <w:rFonts w:ascii="Arial" w:hAnsi="Arial" w:cs="Arial"/>
          <w:color w:val="000000"/>
          <w:sz w:val="22"/>
          <w:szCs w:val="22"/>
        </w:rPr>
        <w:t>Wang et al., 2018</w:t>
      </w:r>
      <w:r w:rsidR="00826EA9" w:rsidRPr="00826EA9">
        <w:rPr>
          <w:rFonts w:ascii="Arial" w:hAnsi="Arial" w:cs="Arial"/>
          <w:color w:val="000000"/>
          <w:sz w:val="22"/>
          <w:szCs w:val="22"/>
        </w:rPr>
        <w:t>) viruses; and casposons, which integrate into the genomes of diverse thaumarchaea (</w:t>
      </w:r>
      <w:r w:rsidR="005E5F5C">
        <w:rPr>
          <w:rFonts w:ascii="Arial" w:hAnsi="Arial" w:cs="Arial"/>
          <w:color w:val="000000"/>
          <w:sz w:val="22"/>
          <w:szCs w:val="22"/>
        </w:rPr>
        <w:t>Krupovic et al., 2017</w:t>
      </w:r>
      <w:r w:rsidR="00826EA9" w:rsidRPr="00826EA9">
        <w:rPr>
          <w:rFonts w:ascii="Arial" w:hAnsi="Arial" w:cs="Arial"/>
          <w:color w:val="000000"/>
          <w:sz w:val="22"/>
          <w:szCs w:val="22"/>
        </w:rPr>
        <w:t>).</w:t>
      </w:r>
      <w:r w:rsidR="00A43920">
        <w:rPr>
          <w:rFonts w:ascii="Arial" w:hAnsi="Arial" w:cs="Arial"/>
          <w:color w:val="000000"/>
          <w:sz w:val="22"/>
          <w:szCs w:val="22"/>
        </w:rPr>
        <w:t xml:space="preserve"> </w:t>
      </w:r>
      <w:r w:rsidR="000B3F34">
        <w:rPr>
          <w:rFonts w:ascii="Arial" w:hAnsi="Arial" w:cs="Arial"/>
          <w:color w:val="000000"/>
          <w:sz w:val="22"/>
          <w:szCs w:val="22"/>
        </w:rPr>
        <w:t xml:space="preserve">Maximum likelihood phylogenetic analysis </w:t>
      </w:r>
      <w:r w:rsidR="000B3F34" w:rsidRPr="000B3F34">
        <w:rPr>
          <w:rFonts w:ascii="Arial" w:hAnsi="Arial" w:cs="Arial"/>
          <w:color w:val="000000"/>
          <w:sz w:val="22"/>
          <w:szCs w:val="22"/>
        </w:rPr>
        <w:t xml:space="preserve">showed that </w:t>
      </w:r>
      <w:r w:rsidR="000B3F34" w:rsidRPr="000B3F34">
        <w:rPr>
          <w:rFonts w:ascii="Arial" w:hAnsi="Arial" w:cs="Arial"/>
          <w:sz w:val="22"/>
          <w:szCs w:val="22"/>
        </w:rPr>
        <w:t xml:space="preserve">pPolB sequences from NSVs form a sister group to the clade that includes halophilic viruses His1 and His2, as well as sequences from marine sediment metagenomes. At the base of this clade are casposons from the marine </w:t>
      </w:r>
      <w:r w:rsidR="000B3F34">
        <w:rPr>
          <w:rFonts w:ascii="Arial" w:hAnsi="Arial" w:cs="Arial"/>
          <w:sz w:val="22"/>
          <w:szCs w:val="22"/>
        </w:rPr>
        <w:t xml:space="preserve">members of the </w:t>
      </w:r>
      <w:r w:rsidR="000B3F34" w:rsidRPr="000B3F34">
        <w:rPr>
          <w:rFonts w:ascii="Arial" w:hAnsi="Arial" w:cs="Arial"/>
          <w:sz w:val="22"/>
          <w:szCs w:val="22"/>
        </w:rPr>
        <w:t xml:space="preserve">Thaumarchaeota. </w:t>
      </w:r>
      <w:r w:rsidR="000B3F34">
        <w:rPr>
          <w:rFonts w:ascii="Arial" w:hAnsi="Arial" w:cs="Arial"/>
          <w:sz w:val="22"/>
          <w:szCs w:val="22"/>
        </w:rPr>
        <w:t>T</w:t>
      </w:r>
      <w:r w:rsidR="000B3F34" w:rsidRPr="000B3F34">
        <w:rPr>
          <w:rFonts w:ascii="Arial" w:hAnsi="Arial" w:cs="Arial"/>
          <w:sz w:val="22"/>
          <w:szCs w:val="22"/>
        </w:rPr>
        <w:t xml:space="preserve">hese results suggest horizontal exchange of the pPolB genes between casposons, NSVs, and haloarchaeal viruses. </w:t>
      </w:r>
      <w:r w:rsidR="000B3F34">
        <w:rPr>
          <w:rFonts w:ascii="Arial" w:hAnsi="Arial" w:cs="Arial"/>
          <w:sz w:val="22"/>
          <w:szCs w:val="22"/>
        </w:rPr>
        <w:t>P</w:t>
      </w:r>
      <w:r w:rsidR="000B3F34" w:rsidRPr="000B3F34">
        <w:rPr>
          <w:rFonts w:ascii="Arial" w:hAnsi="Arial" w:cs="Arial"/>
          <w:sz w:val="22"/>
          <w:szCs w:val="22"/>
        </w:rPr>
        <w:t xml:space="preserve">hylogenetic analysis </w:t>
      </w:r>
      <w:r w:rsidR="000B3F34">
        <w:rPr>
          <w:rFonts w:ascii="Arial" w:hAnsi="Arial" w:cs="Arial"/>
          <w:sz w:val="22"/>
          <w:szCs w:val="22"/>
        </w:rPr>
        <w:t xml:space="preserve">also </w:t>
      </w:r>
      <w:r w:rsidR="000B3F34" w:rsidRPr="000B3F34">
        <w:rPr>
          <w:rFonts w:ascii="Arial" w:hAnsi="Arial" w:cs="Arial"/>
          <w:sz w:val="22"/>
          <w:szCs w:val="22"/>
        </w:rPr>
        <w:t xml:space="preserve">suggests that pPolB genes of thaumarchaeal mobile elements are ancestral to those of His1-like viruses of halophilic archaea. </w:t>
      </w:r>
    </w:p>
    <w:p w14:paraId="0B425586" w14:textId="77777777" w:rsidR="00307948" w:rsidRDefault="00307948" w:rsidP="000B3F34">
      <w:pPr>
        <w:rPr>
          <w:rFonts w:ascii="Arial" w:hAnsi="Arial" w:cs="Arial"/>
          <w:sz w:val="22"/>
          <w:szCs w:val="22"/>
        </w:rPr>
      </w:pPr>
    </w:p>
    <w:p w14:paraId="0AD7AEEE" w14:textId="6C2B8BEC" w:rsidR="00307948" w:rsidRDefault="00307948" w:rsidP="000B3F34">
      <w:pPr>
        <w:rPr>
          <w:rFonts w:ascii="Arial" w:hAnsi="Arial" w:cs="Arial"/>
          <w:sz w:val="22"/>
          <w:szCs w:val="22"/>
        </w:rPr>
      </w:pPr>
      <w:r>
        <w:rPr>
          <w:rFonts w:ascii="Arial" w:hAnsi="Arial" w:cs="Arial"/>
          <w:sz w:val="22"/>
          <w:szCs w:val="22"/>
        </w:rPr>
        <w:t xml:space="preserve">Despite shared virion morphology and genome replication mechanism (likely mediated by homologous pPolB), NSVs and His1 infect widely distinct hosts, belonging to different phyla of archaea (Thaumarchaeota and Euryarchaeota, respectively). Furthermore, the genomes of NSVs are approximately twice longer than that of His1 (Figure 2) and, accordingly, encode different proteins. Thus, although distantly related, NSVs and His1 should not be </w:t>
      </w:r>
      <w:r w:rsidR="00144D3A">
        <w:rPr>
          <w:rFonts w:ascii="Arial" w:hAnsi="Arial" w:cs="Arial"/>
          <w:sz w:val="22"/>
          <w:szCs w:val="22"/>
        </w:rPr>
        <w:t xml:space="preserve">classified into the same family. Thus, for classification of NSVs, we propose creating a separate family with a single genus and a single species. We propose naming the family and genus </w:t>
      </w:r>
      <w:r w:rsidR="00144D3A" w:rsidRPr="00144D3A">
        <w:rPr>
          <w:rFonts w:ascii="Arial" w:hAnsi="Arial" w:cs="Arial"/>
          <w:i/>
          <w:sz w:val="22"/>
          <w:szCs w:val="22"/>
        </w:rPr>
        <w:t>Thaspiviridae</w:t>
      </w:r>
      <w:r w:rsidR="00144D3A">
        <w:rPr>
          <w:rFonts w:ascii="Arial" w:hAnsi="Arial" w:cs="Arial"/>
          <w:sz w:val="22"/>
          <w:szCs w:val="22"/>
        </w:rPr>
        <w:t xml:space="preserve"> (</w:t>
      </w:r>
      <w:r w:rsidR="00144D3A" w:rsidRPr="00144D3A">
        <w:rPr>
          <w:rFonts w:ascii="Arial" w:hAnsi="Arial" w:cs="Arial"/>
          <w:i/>
          <w:sz w:val="22"/>
          <w:szCs w:val="22"/>
        </w:rPr>
        <w:t>Tha</w:t>
      </w:r>
      <w:r w:rsidR="00144D3A">
        <w:rPr>
          <w:rFonts w:ascii="Arial" w:hAnsi="Arial" w:cs="Arial"/>
          <w:sz w:val="22"/>
          <w:szCs w:val="22"/>
        </w:rPr>
        <w:t xml:space="preserve">- for </w:t>
      </w:r>
      <w:r w:rsidR="00144D3A" w:rsidRPr="008F1E2F">
        <w:rPr>
          <w:rFonts w:ascii="Arial" w:hAnsi="Arial" w:cs="Arial"/>
          <w:sz w:val="22"/>
          <w:szCs w:val="22"/>
          <w:u w:val="single"/>
        </w:rPr>
        <w:t>tha</w:t>
      </w:r>
      <w:r w:rsidR="00144D3A">
        <w:rPr>
          <w:rFonts w:ascii="Arial" w:hAnsi="Arial" w:cs="Arial"/>
          <w:sz w:val="22"/>
          <w:szCs w:val="22"/>
        </w:rPr>
        <w:t xml:space="preserve">umarchaeal, </w:t>
      </w:r>
      <w:r w:rsidR="00144D3A" w:rsidRPr="00144D3A">
        <w:rPr>
          <w:rFonts w:ascii="Arial" w:hAnsi="Arial" w:cs="Arial"/>
          <w:i/>
          <w:sz w:val="22"/>
          <w:szCs w:val="22"/>
        </w:rPr>
        <w:t>spi</w:t>
      </w:r>
      <w:r w:rsidR="00144D3A">
        <w:rPr>
          <w:rFonts w:ascii="Arial" w:hAnsi="Arial" w:cs="Arial"/>
          <w:sz w:val="22"/>
          <w:szCs w:val="22"/>
        </w:rPr>
        <w:t xml:space="preserve">- for </w:t>
      </w:r>
      <w:r w:rsidR="00144D3A" w:rsidRPr="008F1E2F">
        <w:rPr>
          <w:rFonts w:ascii="Arial" w:hAnsi="Arial" w:cs="Arial"/>
          <w:sz w:val="22"/>
          <w:szCs w:val="22"/>
          <w:u w:val="single"/>
        </w:rPr>
        <w:t>spi</w:t>
      </w:r>
      <w:r w:rsidR="00144D3A">
        <w:rPr>
          <w:rFonts w:ascii="Arial" w:hAnsi="Arial" w:cs="Arial"/>
          <w:sz w:val="22"/>
          <w:szCs w:val="22"/>
        </w:rPr>
        <w:t>ndle</w:t>
      </w:r>
      <w:r w:rsidR="00746DE0">
        <w:rPr>
          <w:rFonts w:ascii="Arial" w:hAnsi="Arial" w:cs="Arial"/>
          <w:sz w:val="22"/>
          <w:szCs w:val="22"/>
        </w:rPr>
        <w:t>-</w:t>
      </w:r>
      <w:r w:rsidR="00144D3A">
        <w:rPr>
          <w:rFonts w:ascii="Arial" w:hAnsi="Arial" w:cs="Arial"/>
          <w:sz w:val="22"/>
          <w:szCs w:val="22"/>
        </w:rPr>
        <w:t xml:space="preserve">shaped viruses) and </w:t>
      </w:r>
      <w:r w:rsidR="00144D3A" w:rsidRPr="00144D3A">
        <w:rPr>
          <w:rFonts w:ascii="Arial" w:hAnsi="Arial" w:cs="Arial"/>
          <w:i/>
          <w:sz w:val="22"/>
          <w:szCs w:val="22"/>
        </w:rPr>
        <w:t>Nitmarvirus</w:t>
      </w:r>
      <w:r w:rsidR="00144D3A">
        <w:rPr>
          <w:rFonts w:ascii="Arial" w:hAnsi="Arial" w:cs="Arial"/>
          <w:sz w:val="22"/>
          <w:szCs w:val="22"/>
        </w:rPr>
        <w:t xml:space="preserve"> (</w:t>
      </w:r>
      <w:r w:rsidR="008F1E2F">
        <w:rPr>
          <w:rFonts w:ascii="Arial" w:hAnsi="Arial" w:cs="Arial"/>
          <w:sz w:val="22"/>
          <w:szCs w:val="22"/>
        </w:rPr>
        <w:t xml:space="preserve">for </w:t>
      </w:r>
      <w:r w:rsidR="008F1E2F" w:rsidRPr="00746DE0">
        <w:rPr>
          <w:rFonts w:ascii="Arial" w:hAnsi="Arial" w:cs="Arial"/>
          <w:i/>
          <w:sz w:val="22"/>
          <w:szCs w:val="22"/>
          <w:u w:val="single"/>
        </w:rPr>
        <w:t>Nit</w:t>
      </w:r>
      <w:r w:rsidR="008F1E2F" w:rsidRPr="00746DE0">
        <w:rPr>
          <w:rFonts w:ascii="Arial" w:hAnsi="Arial" w:cs="Arial"/>
          <w:i/>
          <w:sz w:val="22"/>
          <w:szCs w:val="22"/>
        </w:rPr>
        <w:t xml:space="preserve">rosopumilus </w:t>
      </w:r>
      <w:r w:rsidR="008F1E2F" w:rsidRPr="00746DE0">
        <w:rPr>
          <w:rFonts w:ascii="Arial" w:hAnsi="Arial" w:cs="Arial"/>
          <w:i/>
          <w:sz w:val="22"/>
          <w:szCs w:val="22"/>
          <w:u w:val="single"/>
        </w:rPr>
        <w:t>mar</w:t>
      </w:r>
      <w:r w:rsidR="008F1E2F" w:rsidRPr="00746DE0">
        <w:rPr>
          <w:rFonts w:ascii="Arial" w:hAnsi="Arial" w:cs="Arial"/>
          <w:i/>
          <w:sz w:val="22"/>
          <w:szCs w:val="22"/>
        </w:rPr>
        <w:t>itimus</w:t>
      </w:r>
      <w:r w:rsidR="008F1E2F">
        <w:rPr>
          <w:rFonts w:ascii="Arial" w:hAnsi="Arial" w:cs="Arial"/>
          <w:sz w:val="22"/>
          <w:szCs w:val="22"/>
        </w:rPr>
        <w:t xml:space="preserve">), respectively. </w:t>
      </w:r>
      <w:r w:rsidR="00144D3A">
        <w:rPr>
          <w:rFonts w:ascii="Arial" w:hAnsi="Arial" w:cs="Arial"/>
          <w:sz w:val="22"/>
          <w:szCs w:val="22"/>
        </w:rPr>
        <w:t xml:space="preserve">Among the three NSVs, NSV1 has been more extensively characterized (Kim et al., 2019) and we chose this virus as an exemplar for the type species, </w:t>
      </w:r>
      <w:r w:rsidR="00144D3A" w:rsidRPr="00144D3A">
        <w:rPr>
          <w:rFonts w:ascii="Arial" w:hAnsi="Arial" w:cs="Arial"/>
          <w:i/>
          <w:sz w:val="22"/>
          <w:szCs w:val="22"/>
        </w:rPr>
        <w:t>Nitmarvirus NSV1</w:t>
      </w:r>
      <w:r w:rsidR="00144D3A">
        <w:rPr>
          <w:rFonts w:ascii="Arial" w:hAnsi="Arial" w:cs="Arial"/>
          <w:sz w:val="22"/>
          <w:szCs w:val="22"/>
        </w:rPr>
        <w:t>.</w:t>
      </w:r>
    </w:p>
    <w:p w14:paraId="33D62524" w14:textId="77777777" w:rsidR="00307948" w:rsidRDefault="00307948" w:rsidP="000B3F34">
      <w:pPr>
        <w:rPr>
          <w:rFonts w:ascii="Arial" w:hAnsi="Arial" w:cs="Arial"/>
          <w:sz w:val="22"/>
          <w:szCs w:val="22"/>
        </w:rPr>
      </w:pPr>
    </w:p>
    <w:p w14:paraId="286F1A1F" w14:textId="618E2CA0" w:rsidR="00074C66" w:rsidRDefault="00C11B12" w:rsidP="008A612E">
      <w:pPr>
        <w:pStyle w:val="BodyTextIndent"/>
        <w:ind w:left="0" w:firstLine="0"/>
        <w:rPr>
          <w:rFonts w:ascii="Arial" w:hAnsi="Arial" w:cs="Arial"/>
          <w:color w:val="000000"/>
          <w:sz w:val="22"/>
          <w:szCs w:val="22"/>
        </w:rPr>
      </w:pPr>
      <w:r>
        <w:rPr>
          <w:rFonts w:ascii="Arial" w:hAnsi="Arial" w:cs="Arial"/>
          <w:color w:val="000000"/>
          <w:sz w:val="22"/>
          <w:szCs w:val="22"/>
        </w:rPr>
        <w:t xml:space="preserve"> </w:t>
      </w:r>
      <w:r w:rsidR="00307948">
        <w:rPr>
          <w:rFonts w:ascii="Arial" w:hAnsi="Arial" w:cs="Arial"/>
          <w:noProof/>
          <w:color w:val="000000"/>
          <w:sz w:val="22"/>
          <w:szCs w:val="22"/>
          <w:lang w:eastAsia="en-US"/>
        </w:rPr>
        <w:drawing>
          <wp:inline distT="0" distB="0" distL="0" distR="0" wp14:anchorId="2652E0E6" wp14:editId="3A86AA46">
            <wp:extent cx="1644502" cy="16445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V1_fig.jpg"/>
                    <pic:cNvPicPr/>
                  </pic:nvPicPr>
                  <pic:blipFill>
                    <a:blip r:embed="rId11">
                      <a:extLst>
                        <a:ext uri="{28A0092B-C50C-407E-A947-70E740481C1C}">
                          <a14:useLocalDpi xmlns:a14="http://schemas.microsoft.com/office/drawing/2010/main" val="0"/>
                        </a:ext>
                      </a:extLst>
                    </a:blip>
                    <a:stretch>
                      <a:fillRect/>
                    </a:stretch>
                  </pic:blipFill>
                  <pic:spPr>
                    <a:xfrm>
                      <a:off x="0" y="0"/>
                      <a:ext cx="1644711" cy="1644711"/>
                    </a:xfrm>
                    <a:prstGeom prst="rect">
                      <a:avLst/>
                    </a:prstGeom>
                  </pic:spPr>
                </pic:pic>
              </a:graphicData>
            </a:graphic>
          </wp:inline>
        </w:drawing>
      </w:r>
    </w:p>
    <w:p w14:paraId="33F016B9" w14:textId="73EBEC6E" w:rsidR="008F1E2F" w:rsidRDefault="008F1E2F" w:rsidP="008A612E">
      <w:pPr>
        <w:pStyle w:val="BodyTextIndent"/>
        <w:ind w:left="0" w:firstLine="0"/>
        <w:rPr>
          <w:rFonts w:ascii="Arial" w:hAnsi="Arial" w:cs="Arial"/>
          <w:color w:val="000000"/>
          <w:sz w:val="22"/>
          <w:szCs w:val="22"/>
        </w:rPr>
      </w:pPr>
      <w:r w:rsidRPr="008F1E2F">
        <w:rPr>
          <w:rFonts w:ascii="Arial" w:hAnsi="Arial" w:cs="Arial"/>
          <w:b/>
          <w:color w:val="000000"/>
          <w:sz w:val="22"/>
          <w:szCs w:val="22"/>
        </w:rPr>
        <w:t>Figure 1.</w:t>
      </w:r>
      <w:r>
        <w:rPr>
          <w:rFonts w:ascii="Arial" w:hAnsi="Arial" w:cs="Arial"/>
          <w:color w:val="000000"/>
          <w:sz w:val="22"/>
          <w:szCs w:val="22"/>
        </w:rPr>
        <w:t xml:space="preserve"> </w:t>
      </w:r>
      <w:r w:rsidRPr="008F1E2F">
        <w:rPr>
          <w:rFonts w:ascii="Arial" w:hAnsi="Arial" w:cs="Arial"/>
          <w:color w:val="000000"/>
          <w:sz w:val="22"/>
          <w:szCs w:val="22"/>
        </w:rPr>
        <w:t>Transmission electron micro</w:t>
      </w:r>
      <w:r>
        <w:rPr>
          <w:rFonts w:ascii="Arial" w:hAnsi="Arial" w:cs="Arial"/>
          <w:color w:val="000000"/>
          <w:sz w:val="22"/>
          <w:szCs w:val="22"/>
        </w:rPr>
        <w:t xml:space="preserve">graph </w:t>
      </w:r>
      <w:r w:rsidRPr="008F1E2F">
        <w:rPr>
          <w:rFonts w:ascii="Arial" w:hAnsi="Arial" w:cs="Arial"/>
          <w:color w:val="000000"/>
          <w:sz w:val="22"/>
          <w:szCs w:val="22"/>
        </w:rPr>
        <w:t>of negatively stained NSV1 virions. Scale bar: 50 nm.</w:t>
      </w:r>
    </w:p>
    <w:p w14:paraId="2383D861" w14:textId="77777777" w:rsidR="00307948" w:rsidRDefault="00307948" w:rsidP="008A612E">
      <w:pPr>
        <w:pStyle w:val="BodyTextIndent"/>
        <w:ind w:left="0" w:firstLine="0"/>
        <w:rPr>
          <w:rFonts w:ascii="Arial" w:hAnsi="Arial" w:cs="Arial"/>
          <w:color w:val="000000"/>
          <w:sz w:val="22"/>
          <w:szCs w:val="22"/>
        </w:rPr>
      </w:pPr>
    </w:p>
    <w:p w14:paraId="1410D17D" w14:textId="3D856193" w:rsidR="00307948" w:rsidRPr="00930C73" w:rsidRDefault="00307948" w:rsidP="008A612E">
      <w:pPr>
        <w:pStyle w:val="BodyTextIndent"/>
        <w:ind w:left="0" w:firstLine="0"/>
        <w:rPr>
          <w:rFonts w:ascii="Arial" w:hAnsi="Arial" w:cs="Arial"/>
          <w:color w:val="000000"/>
          <w:sz w:val="22"/>
          <w:szCs w:val="22"/>
        </w:rPr>
      </w:pPr>
      <w:r>
        <w:rPr>
          <w:rFonts w:ascii="Arial" w:hAnsi="Arial" w:cs="Arial"/>
          <w:noProof/>
          <w:color w:val="000000"/>
          <w:sz w:val="22"/>
          <w:szCs w:val="22"/>
          <w:lang w:eastAsia="en-US"/>
        </w:rPr>
        <w:drawing>
          <wp:inline distT="0" distB="0" distL="0" distR="0" wp14:anchorId="40FD0909" wp14:editId="0A7C996F">
            <wp:extent cx="6007735" cy="818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2">
                      <a:extLst>
                        <a:ext uri="{28A0092B-C50C-407E-A947-70E740481C1C}">
                          <a14:useLocalDpi xmlns:a14="http://schemas.microsoft.com/office/drawing/2010/main" val="0"/>
                        </a:ext>
                      </a:extLst>
                    </a:blip>
                    <a:stretch>
                      <a:fillRect/>
                    </a:stretch>
                  </pic:blipFill>
                  <pic:spPr>
                    <a:xfrm>
                      <a:off x="0" y="0"/>
                      <a:ext cx="6007735" cy="818515"/>
                    </a:xfrm>
                    <a:prstGeom prst="rect">
                      <a:avLst/>
                    </a:prstGeom>
                  </pic:spPr>
                </pic:pic>
              </a:graphicData>
            </a:graphic>
          </wp:inline>
        </w:drawing>
      </w:r>
    </w:p>
    <w:p w14:paraId="4949DDD8" w14:textId="77777777" w:rsidR="00074C66" w:rsidRDefault="00074C66" w:rsidP="008A612E">
      <w:pPr>
        <w:pStyle w:val="BodyTextIndent"/>
        <w:ind w:left="0" w:firstLine="0"/>
        <w:rPr>
          <w:b/>
          <w:szCs w:val="24"/>
        </w:rPr>
      </w:pPr>
    </w:p>
    <w:p w14:paraId="53DD395F" w14:textId="33DB617B" w:rsidR="008F1E2F" w:rsidRPr="008F1E2F" w:rsidRDefault="008F1E2F" w:rsidP="008A612E">
      <w:pPr>
        <w:pStyle w:val="BodyTextIndent"/>
        <w:ind w:left="0" w:firstLine="0"/>
        <w:rPr>
          <w:rFonts w:ascii="Arial" w:hAnsi="Arial" w:cs="Arial"/>
          <w:b/>
          <w:sz w:val="22"/>
          <w:szCs w:val="24"/>
        </w:rPr>
      </w:pPr>
      <w:r w:rsidRPr="008F1E2F">
        <w:rPr>
          <w:rFonts w:ascii="Arial" w:hAnsi="Arial" w:cs="Arial"/>
          <w:b/>
          <w:sz w:val="22"/>
          <w:szCs w:val="24"/>
        </w:rPr>
        <w:t xml:space="preserve">Figure 2. </w:t>
      </w:r>
      <w:r w:rsidRPr="008F1E2F">
        <w:rPr>
          <w:rFonts w:ascii="Arial" w:hAnsi="Arial" w:cs="Arial"/>
          <w:sz w:val="22"/>
        </w:rPr>
        <w:t>Genom</w:t>
      </w:r>
      <w:r>
        <w:rPr>
          <w:rFonts w:ascii="Arial" w:hAnsi="Arial" w:cs="Arial"/>
          <w:sz w:val="22"/>
        </w:rPr>
        <w:t>e</w:t>
      </w:r>
      <w:r w:rsidRPr="008F1E2F">
        <w:rPr>
          <w:rFonts w:ascii="Arial" w:hAnsi="Arial" w:cs="Arial"/>
          <w:sz w:val="22"/>
        </w:rPr>
        <w:t xml:space="preserve"> maps of NSV</w:t>
      </w:r>
      <w:r>
        <w:rPr>
          <w:rFonts w:ascii="Arial" w:hAnsi="Arial" w:cs="Arial"/>
          <w:sz w:val="22"/>
        </w:rPr>
        <w:t>1, NSV2</w:t>
      </w:r>
      <w:r w:rsidRPr="008F1E2F">
        <w:rPr>
          <w:rFonts w:ascii="Arial" w:hAnsi="Arial" w:cs="Arial"/>
          <w:sz w:val="22"/>
        </w:rPr>
        <w:t xml:space="preserve"> and </w:t>
      </w:r>
      <w:r>
        <w:rPr>
          <w:rFonts w:ascii="Arial" w:hAnsi="Arial" w:cs="Arial"/>
          <w:sz w:val="22"/>
        </w:rPr>
        <w:t>salterprovirus His1</w:t>
      </w:r>
      <w:r w:rsidRPr="008F1E2F">
        <w:rPr>
          <w:rFonts w:ascii="Arial" w:hAnsi="Arial" w:cs="Arial"/>
          <w:sz w:val="22"/>
        </w:rPr>
        <w:t xml:space="preserve">. Shared ORFs are connected by shaded areas based on sequence identity. Functionally equivalent </w:t>
      </w:r>
      <w:r w:rsidR="00A87A0B">
        <w:rPr>
          <w:rFonts w:ascii="Arial" w:hAnsi="Arial" w:cs="Arial"/>
          <w:sz w:val="22"/>
        </w:rPr>
        <w:t xml:space="preserve">(but not necessarily homologous) </w:t>
      </w:r>
      <w:r w:rsidRPr="008F1E2F">
        <w:rPr>
          <w:rFonts w:ascii="Arial" w:hAnsi="Arial" w:cs="Arial"/>
          <w:sz w:val="22"/>
        </w:rPr>
        <w:t>genes are indicated with matching colors. Abbreviations: pPolB, protein-primed family B DNA polymerase; MCP, major capsid protein (putative); wHTH, winged helix-turn-helix; GTase, glycosyltransferase; MTase, DNA methyltransferase; PCNA, pro</w:t>
      </w:r>
      <w:r w:rsidR="00A87A0B">
        <w:rPr>
          <w:rFonts w:ascii="Arial" w:hAnsi="Arial" w:cs="Arial"/>
          <w:sz w:val="22"/>
        </w:rPr>
        <w:t>liferating cell nuclear antigen</w:t>
      </w:r>
      <w:r w:rsidRPr="008F1E2F">
        <w:rPr>
          <w:rFonts w:ascii="Arial" w:hAnsi="Arial" w:cs="Arial"/>
          <w:sz w:val="22"/>
        </w:rPr>
        <w:t xml:space="preserve">. </w:t>
      </w:r>
    </w:p>
    <w:p w14:paraId="6916DBE3" w14:textId="16B25EDE" w:rsidR="00307948" w:rsidRDefault="00146615" w:rsidP="008A612E">
      <w:pPr>
        <w:pStyle w:val="BodyTextIndent"/>
        <w:ind w:left="0" w:firstLine="0"/>
        <w:rPr>
          <w:b/>
          <w:szCs w:val="24"/>
        </w:rPr>
      </w:pPr>
      <w:r>
        <w:rPr>
          <w:b/>
          <w:noProof/>
          <w:szCs w:val="24"/>
          <w:lang w:eastAsia="en-US"/>
        </w:rPr>
        <w:lastRenderedPageBreak/>
        <w:drawing>
          <wp:inline distT="0" distB="0" distL="0" distR="0" wp14:anchorId="53EE3367" wp14:editId="774E97CD">
            <wp:extent cx="3779520" cy="424631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aspiviridae.tif"/>
                    <pic:cNvPicPr/>
                  </pic:nvPicPr>
                  <pic:blipFill>
                    <a:blip r:embed="rId13">
                      <a:extLst>
                        <a:ext uri="{28A0092B-C50C-407E-A947-70E740481C1C}">
                          <a14:useLocalDpi xmlns:a14="http://schemas.microsoft.com/office/drawing/2010/main" val="0"/>
                        </a:ext>
                      </a:extLst>
                    </a:blip>
                    <a:stretch>
                      <a:fillRect/>
                    </a:stretch>
                  </pic:blipFill>
                  <pic:spPr>
                    <a:xfrm>
                      <a:off x="0" y="0"/>
                      <a:ext cx="3781106" cy="4248095"/>
                    </a:xfrm>
                    <a:prstGeom prst="rect">
                      <a:avLst/>
                    </a:prstGeom>
                  </pic:spPr>
                </pic:pic>
              </a:graphicData>
            </a:graphic>
          </wp:inline>
        </w:drawing>
      </w:r>
    </w:p>
    <w:p w14:paraId="4A066F06" w14:textId="77777777" w:rsidR="008F1E2F" w:rsidRDefault="008F1E2F" w:rsidP="008A612E">
      <w:pPr>
        <w:pStyle w:val="BodyTextIndent"/>
        <w:ind w:left="0" w:firstLine="0"/>
        <w:rPr>
          <w:rFonts w:ascii="Arial" w:hAnsi="Arial" w:cs="Arial"/>
          <w:b/>
          <w:sz w:val="22"/>
          <w:szCs w:val="22"/>
        </w:rPr>
      </w:pPr>
    </w:p>
    <w:p w14:paraId="16F964E3" w14:textId="78C2B7A2" w:rsidR="005F6718" w:rsidRPr="005F6718" w:rsidRDefault="008F1E2F" w:rsidP="008A612E">
      <w:pPr>
        <w:pStyle w:val="BodyTextIndent"/>
        <w:ind w:left="0" w:firstLine="0"/>
        <w:rPr>
          <w:rFonts w:ascii="Arial" w:hAnsi="Arial" w:cs="Arial"/>
          <w:sz w:val="20"/>
        </w:rPr>
      </w:pPr>
      <w:r w:rsidRPr="008F1E2F">
        <w:rPr>
          <w:rFonts w:ascii="Arial" w:hAnsi="Arial" w:cs="Arial"/>
          <w:b/>
          <w:sz w:val="22"/>
          <w:szCs w:val="22"/>
        </w:rPr>
        <w:t xml:space="preserve">Figure 3. </w:t>
      </w:r>
      <w:r w:rsidRPr="008F1E2F">
        <w:rPr>
          <w:rFonts w:ascii="Arial" w:hAnsi="Arial" w:cs="Arial"/>
          <w:sz w:val="22"/>
          <w:szCs w:val="22"/>
        </w:rPr>
        <w:t>Maximum</w:t>
      </w:r>
      <w:r w:rsidRPr="008F1E2F">
        <w:rPr>
          <w:rFonts w:ascii="Arial" w:hAnsi="Arial" w:cs="Arial"/>
          <w:sz w:val="22"/>
        </w:rPr>
        <w:t xml:space="preserve"> likelihood phylogenetic analysis of pPolB sequences from bacterial and archaeal viruses</w:t>
      </w:r>
      <w:r>
        <w:rPr>
          <w:rFonts w:ascii="Arial" w:hAnsi="Arial" w:cs="Arial"/>
          <w:sz w:val="22"/>
        </w:rPr>
        <w:t>, and non-viral mobile genetic elements</w:t>
      </w:r>
      <w:r w:rsidRPr="008F1E2F">
        <w:rPr>
          <w:rFonts w:ascii="Arial" w:hAnsi="Arial" w:cs="Arial"/>
          <w:sz w:val="22"/>
        </w:rPr>
        <w:t xml:space="preserve">. In this tree, archaeal viruses comprise the following taxa: </w:t>
      </w:r>
      <w:r w:rsidRPr="008F1E2F">
        <w:rPr>
          <w:rFonts w:ascii="Arial" w:hAnsi="Arial" w:cs="Arial"/>
          <w:i/>
          <w:sz w:val="22"/>
        </w:rPr>
        <w:t>Ampullaviridae</w:t>
      </w:r>
      <w:r w:rsidRPr="008F1E2F">
        <w:rPr>
          <w:rFonts w:ascii="Arial" w:hAnsi="Arial" w:cs="Arial"/>
          <w:sz w:val="22"/>
        </w:rPr>
        <w:t xml:space="preserve">, </w:t>
      </w:r>
      <w:r w:rsidRPr="008F1E2F">
        <w:rPr>
          <w:rFonts w:ascii="Arial" w:hAnsi="Arial" w:cs="Arial"/>
          <w:i/>
          <w:sz w:val="22"/>
        </w:rPr>
        <w:t>Pleolipoviridae</w:t>
      </w:r>
      <w:r w:rsidRPr="008F1E2F">
        <w:rPr>
          <w:rFonts w:ascii="Arial" w:hAnsi="Arial" w:cs="Arial"/>
          <w:sz w:val="22"/>
        </w:rPr>
        <w:t xml:space="preserve">, </w:t>
      </w:r>
      <w:r w:rsidRPr="008F1E2F">
        <w:rPr>
          <w:rFonts w:ascii="Arial" w:hAnsi="Arial" w:cs="Arial"/>
          <w:i/>
          <w:sz w:val="22"/>
        </w:rPr>
        <w:t>Ovaliviridae</w:t>
      </w:r>
      <w:r w:rsidRPr="008F1E2F">
        <w:rPr>
          <w:rFonts w:ascii="Arial" w:hAnsi="Arial" w:cs="Arial"/>
          <w:sz w:val="22"/>
        </w:rPr>
        <w:t xml:space="preserve"> and </w:t>
      </w:r>
      <w:r w:rsidRPr="008F1E2F">
        <w:rPr>
          <w:rFonts w:ascii="Arial" w:hAnsi="Arial" w:cs="Arial"/>
          <w:i/>
          <w:sz w:val="22"/>
        </w:rPr>
        <w:t>Salterprovirus</w:t>
      </w:r>
      <w:r w:rsidRPr="008F1E2F">
        <w:rPr>
          <w:rFonts w:ascii="Arial" w:hAnsi="Arial" w:cs="Arial"/>
          <w:sz w:val="22"/>
        </w:rPr>
        <w:t xml:space="preserve">. Sequences originating from </w:t>
      </w:r>
      <w:r>
        <w:rPr>
          <w:rFonts w:ascii="Arial" w:hAnsi="Arial" w:cs="Arial"/>
          <w:sz w:val="22"/>
        </w:rPr>
        <w:t xml:space="preserve">classified archaeal and bacterial viruses are </w:t>
      </w:r>
      <w:r w:rsidRPr="008F1E2F">
        <w:rPr>
          <w:rFonts w:ascii="Arial" w:hAnsi="Arial" w:cs="Arial"/>
          <w:sz w:val="22"/>
        </w:rPr>
        <w:t>highlighted with light blue</w:t>
      </w:r>
      <w:r>
        <w:rPr>
          <w:rFonts w:ascii="Arial" w:hAnsi="Arial" w:cs="Arial"/>
          <w:sz w:val="22"/>
        </w:rPr>
        <w:t xml:space="preserve"> and black, whereas s</w:t>
      </w:r>
      <w:r w:rsidRPr="008F1E2F">
        <w:rPr>
          <w:rFonts w:ascii="Arial" w:hAnsi="Arial" w:cs="Arial"/>
          <w:sz w:val="22"/>
        </w:rPr>
        <w:t>equences from metagenomic datasets are indicated with grey font.</w:t>
      </w:r>
      <w:r w:rsidR="005F6718">
        <w:rPr>
          <w:rFonts w:ascii="Arial" w:hAnsi="Arial" w:cs="Arial"/>
          <w:sz w:val="22"/>
        </w:rPr>
        <w:t xml:space="preserve"> </w:t>
      </w:r>
      <w:r w:rsidR="00BD0AB4">
        <w:rPr>
          <w:rFonts w:ascii="Arial" w:hAnsi="Arial" w:cs="Arial"/>
          <w:sz w:val="22"/>
        </w:rPr>
        <w:t>Metagenomic sequences were retrieved from the MGnify website (</w:t>
      </w:r>
      <w:hyperlink r:id="rId14" w:history="1">
        <w:r w:rsidR="00BD0AB4" w:rsidRPr="000C2366">
          <w:rPr>
            <w:rStyle w:val="Hyperlink"/>
            <w:rFonts w:ascii="Arial" w:hAnsi="Arial" w:cs="Arial"/>
            <w:sz w:val="22"/>
          </w:rPr>
          <w:t>https://www.ebi.ac.uk/metagenomics/</w:t>
        </w:r>
      </w:hyperlink>
      <w:r w:rsidR="00BD0AB4">
        <w:rPr>
          <w:rFonts w:ascii="Arial" w:hAnsi="Arial" w:cs="Arial"/>
          <w:sz w:val="22"/>
        </w:rPr>
        <w:t xml:space="preserve">) and are named MGYPXXX. </w:t>
      </w:r>
      <w:r w:rsidR="005F6718">
        <w:rPr>
          <w:rFonts w:ascii="Arial" w:hAnsi="Arial" w:cs="Arial"/>
          <w:sz w:val="22"/>
        </w:rPr>
        <w:t xml:space="preserve">NSVs and related contigs (scaffold98 and scaffold83) are shown in red. </w:t>
      </w:r>
      <w:r w:rsidR="005F6718" w:rsidRPr="005F6718">
        <w:rPr>
          <w:rFonts w:ascii="Arial" w:hAnsi="Arial" w:cs="Arial"/>
          <w:sz w:val="22"/>
        </w:rPr>
        <w:t>The sequences were aligned using MUSCLE</w:t>
      </w:r>
      <w:r w:rsidR="00C309EC">
        <w:rPr>
          <w:rFonts w:ascii="Arial" w:hAnsi="Arial" w:cs="Arial"/>
          <w:sz w:val="22"/>
        </w:rPr>
        <w:t xml:space="preserve"> (Edgar, 2004)</w:t>
      </w:r>
      <w:r w:rsidR="005F6718" w:rsidRPr="005F6718">
        <w:rPr>
          <w:rFonts w:ascii="Arial" w:hAnsi="Arial" w:cs="Arial"/>
          <w:sz w:val="22"/>
        </w:rPr>
        <w:t xml:space="preserve">. Poorly aligned (low information content) positions were removed using trimAl v1.2 </w:t>
      </w:r>
      <w:r w:rsidR="005F6718" w:rsidRPr="005F6718">
        <w:rPr>
          <w:rFonts w:ascii="Arial" w:hAnsi="Arial" w:cs="Arial"/>
          <w:noProof/>
          <w:sz w:val="22"/>
        </w:rPr>
        <w:t>(</w:t>
      </w:r>
      <w:r w:rsidR="00C309EC" w:rsidRPr="00C309EC">
        <w:rPr>
          <w:rFonts w:ascii="Arial" w:hAnsi="Arial" w:cs="Arial"/>
          <w:noProof/>
          <w:sz w:val="22"/>
        </w:rPr>
        <w:t>Capella-Gutiérrez</w:t>
      </w:r>
      <w:r w:rsidR="00C309EC">
        <w:rPr>
          <w:rFonts w:ascii="Arial" w:hAnsi="Arial" w:cs="Arial"/>
          <w:noProof/>
          <w:sz w:val="22"/>
        </w:rPr>
        <w:t xml:space="preserve"> et al., 2009</w:t>
      </w:r>
      <w:r w:rsidR="005F6718" w:rsidRPr="005F6718">
        <w:rPr>
          <w:rFonts w:ascii="Arial" w:hAnsi="Arial" w:cs="Arial"/>
          <w:noProof/>
          <w:sz w:val="22"/>
        </w:rPr>
        <w:t>)</w:t>
      </w:r>
      <w:r w:rsidR="005F6718" w:rsidRPr="005F6718">
        <w:rPr>
          <w:rFonts w:ascii="Arial" w:hAnsi="Arial" w:cs="Arial"/>
          <w:sz w:val="22"/>
        </w:rPr>
        <w:t xml:space="preserve"> with a gap threshold of 0.2. The final alignment contained 705 positions. The maximum likelihood phylogenetic tree was constructed using the PhyML program </w:t>
      </w:r>
      <w:r w:rsidR="005F6718" w:rsidRPr="005F6718">
        <w:rPr>
          <w:rFonts w:ascii="Arial" w:hAnsi="Arial" w:cs="Arial"/>
          <w:noProof/>
          <w:sz w:val="22"/>
        </w:rPr>
        <w:t>(</w:t>
      </w:r>
      <w:r w:rsidR="00063762" w:rsidRPr="00063762">
        <w:rPr>
          <w:rFonts w:ascii="Arial" w:hAnsi="Arial" w:cs="Arial"/>
          <w:noProof/>
          <w:sz w:val="22"/>
        </w:rPr>
        <w:t>Guindon</w:t>
      </w:r>
      <w:r w:rsidR="00063762">
        <w:rPr>
          <w:rFonts w:ascii="Arial" w:hAnsi="Arial" w:cs="Arial"/>
          <w:noProof/>
          <w:sz w:val="22"/>
        </w:rPr>
        <w:t xml:space="preserve"> et al., 2010</w:t>
      </w:r>
      <w:r w:rsidR="005F6718" w:rsidRPr="005F6718">
        <w:rPr>
          <w:rFonts w:ascii="Arial" w:hAnsi="Arial" w:cs="Arial"/>
          <w:noProof/>
          <w:sz w:val="22"/>
        </w:rPr>
        <w:t>)</w:t>
      </w:r>
      <w:r w:rsidR="005F6718" w:rsidRPr="005F6718">
        <w:rPr>
          <w:rFonts w:ascii="Arial" w:hAnsi="Arial" w:cs="Arial"/>
          <w:sz w:val="22"/>
        </w:rPr>
        <w:t xml:space="preserve"> with automatic selection of the best-fit substitution model for a given alignment. The best model identified by PhyML was VT+G+I+F. The tree was midpoint rooted for convenient visualisation. The branch support was assessed using aBayes implemented in PhyML.</w:t>
      </w:r>
    </w:p>
    <w:p w14:paraId="15C98F2A" w14:textId="77777777" w:rsidR="008F1E2F" w:rsidRDefault="008F1E2F" w:rsidP="008A612E">
      <w:pPr>
        <w:pStyle w:val="BodyTextIndent"/>
        <w:ind w:left="0" w:firstLine="0"/>
        <w:rPr>
          <w:b/>
          <w:szCs w:val="24"/>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4A3266A" w14:textId="60E08CC7" w:rsidR="00826EA9" w:rsidRDefault="00826EA9" w:rsidP="00B867E7">
            <w:pPr>
              <w:pStyle w:val="BodyTextIndent"/>
              <w:ind w:left="567" w:hanging="567"/>
              <w:rPr>
                <w:rFonts w:ascii="Times New Roman" w:hAnsi="Times New Roman"/>
                <w:color w:val="000000"/>
              </w:rPr>
            </w:pPr>
            <w:r w:rsidRPr="00826EA9">
              <w:rPr>
                <w:rFonts w:ascii="Times New Roman" w:hAnsi="Times New Roman"/>
                <w:color w:val="000000"/>
              </w:rPr>
              <w:t>Bath C, Cukalac T, Porter K, Dyall-Smith ML. His1 and His2 are distantly related, spindle-shaped haloviruses belonging to the novel virus group, Salterprovirus. Virology. 2006;</w:t>
            </w:r>
            <w:r>
              <w:rPr>
                <w:rFonts w:ascii="Times New Roman" w:hAnsi="Times New Roman"/>
                <w:color w:val="000000"/>
              </w:rPr>
              <w:t xml:space="preserve"> </w:t>
            </w:r>
            <w:r w:rsidRPr="00826EA9">
              <w:rPr>
                <w:rFonts w:ascii="Times New Roman" w:hAnsi="Times New Roman"/>
                <w:color w:val="000000"/>
              </w:rPr>
              <w:t>350(1):228–239.</w:t>
            </w:r>
          </w:p>
          <w:p w14:paraId="140112D9" w14:textId="5BF9A900" w:rsidR="00C309EC" w:rsidRDefault="00C309EC" w:rsidP="00B867E7">
            <w:pPr>
              <w:pStyle w:val="BodyTextIndent"/>
              <w:ind w:left="567" w:hanging="567"/>
              <w:rPr>
                <w:rFonts w:ascii="Times New Roman" w:hAnsi="Times New Roman"/>
                <w:color w:val="000000"/>
              </w:rPr>
            </w:pPr>
            <w:r w:rsidRPr="005F6718">
              <w:rPr>
                <w:rFonts w:ascii="Times New Roman" w:hAnsi="Times New Roman"/>
                <w:color w:val="000000"/>
              </w:rPr>
              <w:t>Capella-Gutiérrez S, Silla-Martínez JM, &amp; Gabaldón T</w:t>
            </w:r>
            <w:r>
              <w:rPr>
                <w:rFonts w:ascii="Times New Roman" w:hAnsi="Times New Roman"/>
                <w:color w:val="000000"/>
              </w:rPr>
              <w:t xml:space="preserve">. </w:t>
            </w:r>
            <w:r w:rsidRPr="005F6718">
              <w:rPr>
                <w:rFonts w:ascii="Times New Roman" w:hAnsi="Times New Roman"/>
                <w:color w:val="000000"/>
              </w:rPr>
              <w:t>trimAl: a tool for automated alignment trimming in large-scale phylogenetic analyses. Bioinformatics</w:t>
            </w:r>
            <w:r>
              <w:rPr>
                <w:rFonts w:ascii="Times New Roman" w:hAnsi="Times New Roman"/>
                <w:color w:val="000000"/>
              </w:rPr>
              <w:t>.</w:t>
            </w:r>
            <w:r w:rsidRPr="005F6718">
              <w:rPr>
                <w:rFonts w:ascii="Times New Roman" w:hAnsi="Times New Roman"/>
                <w:color w:val="000000"/>
              </w:rPr>
              <w:t xml:space="preserve"> </w:t>
            </w:r>
            <w:r>
              <w:rPr>
                <w:rFonts w:ascii="Times New Roman" w:hAnsi="Times New Roman"/>
                <w:color w:val="000000"/>
              </w:rPr>
              <w:t xml:space="preserve">2009; </w:t>
            </w:r>
            <w:r w:rsidRPr="005F6718">
              <w:rPr>
                <w:rFonts w:ascii="Times New Roman" w:hAnsi="Times New Roman"/>
                <w:color w:val="000000"/>
              </w:rPr>
              <w:t>25:1972-1973.</w:t>
            </w:r>
          </w:p>
          <w:p w14:paraId="4A3EAD19" w14:textId="083CBDF7" w:rsidR="00C309EC" w:rsidRDefault="005F6718" w:rsidP="00B867E7">
            <w:pPr>
              <w:pStyle w:val="BodyTextIndent"/>
              <w:ind w:left="567" w:hanging="567"/>
              <w:rPr>
                <w:rFonts w:ascii="Times New Roman" w:hAnsi="Times New Roman"/>
                <w:color w:val="000000"/>
              </w:rPr>
            </w:pPr>
            <w:r w:rsidRPr="005F6718">
              <w:rPr>
                <w:rFonts w:ascii="Times New Roman" w:hAnsi="Times New Roman"/>
                <w:color w:val="000000"/>
              </w:rPr>
              <w:t>Edgar RC (2004) MUSCLE: a multiple sequence alignment method with reduced time and space complexity. BMC Bioinformatics 19:113.</w:t>
            </w:r>
          </w:p>
          <w:p w14:paraId="33C25AAD" w14:textId="04C0CBF8" w:rsidR="00063762" w:rsidRDefault="00063762" w:rsidP="00B867E7">
            <w:pPr>
              <w:pStyle w:val="BodyTextIndent"/>
              <w:ind w:left="567" w:hanging="567"/>
              <w:rPr>
                <w:rFonts w:ascii="Times New Roman" w:hAnsi="Times New Roman"/>
                <w:color w:val="000000"/>
              </w:rPr>
            </w:pPr>
            <w:r>
              <w:rPr>
                <w:rFonts w:ascii="Times New Roman" w:hAnsi="Times New Roman"/>
                <w:color w:val="000000"/>
              </w:rPr>
              <w:t xml:space="preserve">Guindon S, et al. </w:t>
            </w:r>
            <w:r w:rsidRPr="005F6718">
              <w:rPr>
                <w:rFonts w:ascii="Times New Roman" w:hAnsi="Times New Roman"/>
                <w:color w:val="000000"/>
              </w:rPr>
              <w:t xml:space="preserve">New algorithms and methods to estimate maximum-likelihood phylogenies: </w:t>
            </w:r>
            <w:r w:rsidRPr="005F6718">
              <w:rPr>
                <w:rFonts w:ascii="Times New Roman" w:hAnsi="Times New Roman"/>
                <w:color w:val="000000"/>
              </w:rPr>
              <w:lastRenderedPageBreak/>
              <w:t>assessing the performance of phyML 3.0. Syst Biol</w:t>
            </w:r>
            <w:r>
              <w:rPr>
                <w:rFonts w:ascii="Times New Roman" w:hAnsi="Times New Roman"/>
                <w:color w:val="000000"/>
              </w:rPr>
              <w:t>. 2010:</w:t>
            </w:r>
            <w:r w:rsidRPr="005F6718">
              <w:rPr>
                <w:rFonts w:ascii="Times New Roman" w:hAnsi="Times New Roman"/>
                <w:color w:val="000000"/>
              </w:rPr>
              <w:t xml:space="preserve"> 59:307-321.</w:t>
            </w:r>
          </w:p>
          <w:p w14:paraId="19E33EFD" w14:textId="21F2DA90" w:rsidR="00AA601F" w:rsidRDefault="00B867E7" w:rsidP="00B867E7">
            <w:pPr>
              <w:pStyle w:val="BodyTextIndent"/>
              <w:ind w:left="567" w:hanging="567"/>
              <w:rPr>
                <w:rFonts w:ascii="Times New Roman" w:hAnsi="Times New Roman"/>
                <w:color w:val="000000"/>
              </w:rPr>
            </w:pPr>
            <w:r w:rsidRPr="00B867E7">
              <w:rPr>
                <w:rFonts w:ascii="Times New Roman" w:hAnsi="Times New Roman"/>
                <w:color w:val="000000"/>
              </w:rPr>
              <w:t>Kim</w:t>
            </w:r>
            <w:r>
              <w:rPr>
                <w:rFonts w:ascii="Times New Roman" w:hAnsi="Times New Roman"/>
                <w:color w:val="000000"/>
              </w:rPr>
              <w:t xml:space="preserve"> JG</w:t>
            </w:r>
            <w:r w:rsidRPr="00B867E7">
              <w:rPr>
                <w:rFonts w:ascii="Times New Roman" w:hAnsi="Times New Roman"/>
                <w:color w:val="000000"/>
              </w:rPr>
              <w:t>, Kim</w:t>
            </w:r>
            <w:r>
              <w:rPr>
                <w:rFonts w:ascii="Times New Roman" w:hAnsi="Times New Roman"/>
                <w:color w:val="000000"/>
              </w:rPr>
              <w:t xml:space="preserve"> SJ</w:t>
            </w:r>
            <w:r w:rsidRPr="00B867E7">
              <w:rPr>
                <w:rFonts w:ascii="Times New Roman" w:hAnsi="Times New Roman"/>
                <w:color w:val="000000"/>
              </w:rPr>
              <w:t>, Cvirkaite-Krupovic</w:t>
            </w:r>
            <w:r>
              <w:rPr>
                <w:rFonts w:ascii="Times New Roman" w:hAnsi="Times New Roman"/>
                <w:color w:val="000000"/>
              </w:rPr>
              <w:t xml:space="preserve"> V</w:t>
            </w:r>
            <w:r w:rsidRPr="00B867E7">
              <w:rPr>
                <w:rFonts w:ascii="Times New Roman" w:hAnsi="Times New Roman"/>
                <w:color w:val="000000"/>
              </w:rPr>
              <w:t>, Yu</w:t>
            </w:r>
            <w:r>
              <w:rPr>
                <w:rFonts w:ascii="Times New Roman" w:hAnsi="Times New Roman"/>
                <w:color w:val="000000"/>
              </w:rPr>
              <w:t xml:space="preserve"> WJ</w:t>
            </w:r>
            <w:r w:rsidRPr="00B867E7">
              <w:rPr>
                <w:rFonts w:ascii="Times New Roman" w:hAnsi="Times New Roman"/>
                <w:color w:val="000000"/>
              </w:rPr>
              <w:t>, Gwak</w:t>
            </w:r>
            <w:r>
              <w:rPr>
                <w:rFonts w:ascii="Times New Roman" w:hAnsi="Times New Roman"/>
                <w:color w:val="000000"/>
              </w:rPr>
              <w:t xml:space="preserve"> JH</w:t>
            </w:r>
            <w:r w:rsidRPr="00B867E7">
              <w:rPr>
                <w:rFonts w:ascii="Times New Roman" w:hAnsi="Times New Roman"/>
                <w:color w:val="000000"/>
              </w:rPr>
              <w:t>, López-Pérez</w:t>
            </w:r>
            <w:r>
              <w:rPr>
                <w:rFonts w:ascii="Times New Roman" w:hAnsi="Times New Roman"/>
                <w:color w:val="000000"/>
              </w:rPr>
              <w:t xml:space="preserve"> M</w:t>
            </w:r>
            <w:r w:rsidRPr="00B867E7">
              <w:rPr>
                <w:rFonts w:ascii="Times New Roman" w:hAnsi="Times New Roman"/>
                <w:color w:val="000000"/>
              </w:rPr>
              <w:t>, Rodriguez-Valera</w:t>
            </w:r>
            <w:r>
              <w:rPr>
                <w:rFonts w:ascii="Times New Roman" w:hAnsi="Times New Roman"/>
                <w:color w:val="000000"/>
              </w:rPr>
              <w:t xml:space="preserve"> F</w:t>
            </w:r>
            <w:r w:rsidRPr="00B867E7">
              <w:rPr>
                <w:rFonts w:ascii="Times New Roman" w:hAnsi="Times New Roman"/>
                <w:color w:val="000000"/>
              </w:rPr>
              <w:t>, Krupovic</w:t>
            </w:r>
            <w:r>
              <w:rPr>
                <w:rFonts w:ascii="Times New Roman" w:hAnsi="Times New Roman"/>
                <w:color w:val="000000"/>
              </w:rPr>
              <w:t xml:space="preserve"> M</w:t>
            </w:r>
            <w:r w:rsidRPr="00B867E7">
              <w:rPr>
                <w:rFonts w:ascii="Times New Roman" w:hAnsi="Times New Roman"/>
                <w:color w:val="000000"/>
              </w:rPr>
              <w:t>, Cho</w:t>
            </w:r>
            <w:r>
              <w:rPr>
                <w:rFonts w:ascii="Times New Roman" w:hAnsi="Times New Roman"/>
                <w:color w:val="000000"/>
              </w:rPr>
              <w:t xml:space="preserve"> JC</w:t>
            </w:r>
            <w:r w:rsidRPr="00B867E7">
              <w:rPr>
                <w:rFonts w:ascii="Times New Roman" w:hAnsi="Times New Roman"/>
                <w:color w:val="000000"/>
              </w:rPr>
              <w:t>, Rhee</w:t>
            </w:r>
            <w:r>
              <w:rPr>
                <w:rFonts w:ascii="Times New Roman" w:hAnsi="Times New Roman"/>
                <w:color w:val="000000"/>
              </w:rPr>
              <w:t xml:space="preserve"> SK. </w:t>
            </w:r>
            <w:r w:rsidRPr="00B867E7">
              <w:rPr>
                <w:rFonts w:ascii="Times New Roman" w:hAnsi="Times New Roman"/>
                <w:color w:val="000000"/>
              </w:rPr>
              <w:t>Spindle-shaped viruses infect marine ammonia-oxidising thaumarchaea</w:t>
            </w:r>
            <w:r>
              <w:rPr>
                <w:rFonts w:ascii="Times New Roman" w:hAnsi="Times New Roman"/>
                <w:color w:val="000000"/>
              </w:rPr>
              <w:t xml:space="preserve">. 2019. </w:t>
            </w:r>
            <w:r w:rsidR="00625ACD" w:rsidRPr="00625ACD">
              <w:rPr>
                <w:rFonts w:ascii="Times New Roman" w:hAnsi="Times New Roman"/>
                <w:color w:val="000000"/>
              </w:rPr>
              <w:t>Proc Natl Acad Sci U S A. 2019;</w:t>
            </w:r>
            <w:r w:rsidR="00625ACD">
              <w:rPr>
                <w:rFonts w:ascii="Times New Roman" w:hAnsi="Times New Roman"/>
                <w:color w:val="000000"/>
              </w:rPr>
              <w:t xml:space="preserve"> 116(31):15645-15650</w:t>
            </w:r>
            <w:r>
              <w:rPr>
                <w:rFonts w:ascii="Times New Roman" w:hAnsi="Times New Roman"/>
                <w:color w:val="000000"/>
              </w:rPr>
              <w:t>.</w:t>
            </w:r>
          </w:p>
          <w:p w14:paraId="7883C09A" w14:textId="612A7308" w:rsidR="00C443BD" w:rsidRDefault="00C443BD" w:rsidP="00C443BD">
            <w:pPr>
              <w:pStyle w:val="BodyTextIndent"/>
              <w:ind w:left="567" w:hanging="567"/>
              <w:rPr>
                <w:rFonts w:ascii="Times New Roman" w:hAnsi="Times New Roman"/>
                <w:color w:val="000000"/>
              </w:rPr>
            </w:pPr>
            <w:r w:rsidRPr="00C443BD">
              <w:rPr>
                <w:rFonts w:ascii="Times New Roman" w:hAnsi="Times New Roman"/>
                <w:color w:val="000000"/>
              </w:rPr>
              <w:t>Krupovic M, Béguin P, Koonin EV.</w:t>
            </w:r>
            <w:r>
              <w:rPr>
                <w:rFonts w:ascii="Times New Roman" w:hAnsi="Times New Roman"/>
                <w:color w:val="000000"/>
              </w:rPr>
              <w:t xml:space="preserve"> </w:t>
            </w:r>
            <w:r w:rsidRPr="00C443BD">
              <w:rPr>
                <w:rFonts w:ascii="Times New Roman" w:hAnsi="Times New Roman"/>
                <w:color w:val="000000"/>
              </w:rPr>
              <w:t>Casposons: mobile genetic elements that gave rise to the CRISPR-Cas adaptation machinery.</w:t>
            </w:r>
            <w:r>
              <w:rPr>
                <w:rFonts w:ascii="Times New Roman" w:hAnsi="Times New Roman"/>
                <w:color w:val="000000"/>
              </w:rPr>
              <w:t xml:space="preserve"> </w:t>
            </w:r>
            <w:r w:rsidRPr="00C443BD">
              <w:rPr>
                <w:rFonts w:ascii="Times New Roman" w:hAnsi="Times New Roman"/>
                <w:color w:val="000000"/>
              </w:rPr>
              <w:t>Curr Opin Microbiol. 2017;</w:t>
            </w:r>
            <w:r>
              <w:rPr>
                <w:rFonts w:ascii="Times New Roman" w:hAnsi="Times New Roman"/>
                <w:color w:val="000000"/>
              </w:rPr>
              <w:t xml:space="preserve"> </w:t>
            </w:r>
            <w:r w:rsidRPr="00C443BD">
              <w:rPr>
                <w:rFonts w:ascii="Times New Roman" w:hAnsi="Times New Roman"/>
                <w:color w:val="000000"/>
              </w:rPr>
              <w:t>38:36-43.</w:t>
            </w:r>
          </w:p>
          <w:p w14:paraId="218587D6" w14:textId="77777777" w:rsidR="00930C73" w:rsidRDefault="00930C73" w:rsidP="00930C73">
            <w:pPr>
              <w:pStyle w:val="BodyTextIndent"/>
              <w:ind w:left="567" w:hanging="567"/>
              <w:rPr>
                <w:rFonts w:ascii="Times New Roman" w:hAnsi="Times New Roman"/>
                <w:color w:val="000000"/>
              </w:rPr>
            </w:pPr>
            <w:r w:rsidRPr="00930C73">
              <w:rPr>
                <w:rFonts w:ascii="Times New Roman" w:hAnsi="Times New Roman"/>
                <w:color w:val="000000"/>
              </w:rPr>
              <w:t>Krupovic M, Quemin ER, Bamford DH, Forterre P, Prangishvili D.</w:t>
            </w:r>
            <w:r>
              <w:rPr>
                <w:rFonts w:ascii="Times New Roman" w:hAnsi="Times New Roman"/>
                <w:color w:val="000000"/>
              </w:rPr>
              <w:t xml:space="preserve"> </w:t>
            </w:r>
            <w:r w:rsidRPr="00930C73">
              <w:rPr>
                <w:rFonts w:ascii="Times New Roman" w:hAnsi="Times New Roman"/>
                <w:color w:val="000000"/>
              </w:rPr>
              <w:t>Unification of the globally distributed spindle-shaped viruses of the Archaea.</w:t>
            </w:r>
            <w:r>
              <w:rPr>
                <w:rFonts w:ascii="Times New Roman" w:hAnsi="Times New Roman"/>
                <w:color w:val="000000"/>
              </w:rPr>
              <w:t xml:space="preserve"> </w:t>
            </w:r>
            <w:r w:rsidRPr="00930C73">
              <w:rPr>
                <w:rFonts w:ascii="Times New Roman" w:hAnsi="Times New Roman"/>
                <w:color w:val="000000"/>
              </w:rPr>
              <w:t>J Virol. 2014;</w:t>
            </w:r>
            <w:r>
              <w:rPr>
                <w:rFonts w:ascii="Times New Roman" w:hAnsi="Times New Roman"/>
                <w:color w:val="000000"/>
              </w:rPr>
              <w:t xml:space="preserve"> </w:t>
            </w:r>
            <w:r w:rsidRPr="00930C73">
              <w:rPr>
                <w:rFonts w:ascii="Times New Roman" w:hAnsi="Times New Roman"/>
                <w:color w:val="000000"/>
              </w:rPr>
              <w:t>88(4):2354-8.</w:t>
            </w:r>
          </w:p>
          <w:p w14:paraId="60A3CC97" w14:textId="77777777" w:rsidR="00826EA9" w:rsidRDefault="00826EA9" w:rsidP="00826EA9">
            <w:pPr>
              <w:pStyle w:val="BodyTextIndent"/>
              <w:ind w:left="567" w:hanging="567"/>
              <w:rPr>
                <w:rFonts w:ascii="Times New Roman" w:hAnsi="Times New Roman"/>
                <w:color w:val="000000"/>
              </w:rPr>
            </w:pPr>
            <w:r w:rsidRPr="00826EA9">
              <w:rPr>
                <w:rFonts w:ascii="Times New Roman" w:hAnsi="Times New Roman"/>
                <w:color w:val="000000"/>
              </w:rPr>
              <w:t>Prangishvili D, Krupovic M, I</w:t>
            </w:r>
            <w:r>
              <w:rPr>
                <w:rFonts w:ascii="Times New Roman" w:hAnsi="Times New Roman"/>
                <w:color w:val="000000"/>
              </w:rPr>
              <w:t>CTV</w:t>
            </w:r>
            <w:r w:rsidRPr="00826EA9">
              <w:rPr>
                <w:rFonts w:ascii="Times New Roman" w:hAnsi="Times New Roman"/>
                <w:color w:val="000000"/>
              </w:rPr>
              <w:t xml:space="preserve"> Report Consortium.</w:t>
            </w:r>
            <w:r>
              <w:rPr>
                <w:rFonts w:ascii="Times New Roman" w:hAnsi="Times New Roman"/>
                <w:color w:val="000000"/>
              </w:rPr>
              <w:t xml:space="preserve"> </w:t>
            </w:r>
            <w:r w:rsidRPr="00826EA9">
              <w:rPr>
                <w:rFonts w:ascii="Times New Roman" w:hAnsi="Times New Roman"/>
                <w:color w:val="000000"/>
              </w:rPr>
              <w:t>ICTV Virus Taxonomy Profile: Ampullaviridae.</w:t>
            </w:r>
            <w:r>
              <w:rPr>
                <w:rFonts w:ascii="Times New Roman" w:hAnsi="Times New Roman"/>
                <w:color w:val="000000"/>
              </w:rPr>
              <w:t xml:space="preserve"> </w:t>
            </w:r>
            <w:r w:rsidRPr="00826EA9">
              <w:rPr>
                <w:rFonts w:ascii="Times New Roman" w:hAnsi="Times New Roman"/>
                <w:color w:val="000000"/>
              </w:rPr>
              <w:t>J Gen Virol. 2018;</w:t>
            </w:r>
            <w:r>
              <w:rPr>
                <w:rFonts w:ascii="Times New Roman" w:hAnsi="Times New Roman"/>
                <w:color w:val="000000"/>
              </w:rPr>
              <w:t xml:space="preserve"> </w:t>
            </w:r>
            <w:r w:rsidRPr="00826EA9">
              <w:rPr>
                <w:rFonts w:ascii="Times New Roman" w:hAnsi="Times New Roman"/>
                <w:color w:val="000000"/>
              </w:rPr>
              <w:t>99(3):288-289.</w:t>
            </w:r>
          </w:p>
          <w:p w14:paraId="16FDC101" w14:textId="63BBFF12" w:rsidR="005F6718" w:rsidRPr="00C61931" w:rsidRDefault="00826EA9" w:rsidP="001707CF">
            <w:pPr>
              <w:pStyle w:val="BodyTextIndent"/>
              <w:ind w:left="567" w:hanging="567"/>
              <w:rPr>
                <w:rFonts w:ascii="Times New Roman" w:hAnsi="Times New Roman"/>
                <w:color w:val="000000"/>
              </w:rPr>
            </w:pPr>
            <w:r w:rsidRPr="00826EA9">
              <w:rPr>
                <w:rFonts w:ascii="Times New Roman" w:hAnsi="Times New Roman"/>
                <w:color w:val="000000"/>
              </w:rPr>
              <w:t>Wang H, Guo Z, Feng H, Chen Y, Chen X, Li Z, Hernández-Ascencio W, Dai X, Zhang Z, Zheng X, Mora-López M, Fu Y, Zhang C, Zhu P, Huang L.</w:t>
            </w:r>
            <w:r>
              <w:rPr>
                <w:rFonts w:ascii="Times New Roman" w:hAnsi="Times New Roman"/>
                <w:color w:val="000000"/>
              </w:rPr>
              <w:t xml:space="preserve"> </w:t>
            </w:r>
            <w:r w:rsidRPr="00826EA9">
              <w:rPr>
                <w:rFonts w:ascii="Times New Roman" w:hAnsi="Times New Roman"/>
                <w:color w:val="000000"/>
              </w:rPr>
              <w:t>Novel Sulfolobus Virus with an Exceptional Capsid Architecture.</w:t>
            </w:r>
            <w:r>
              <w:rPr>
                <w:rFonts w:ascii="Times New Roman" w:hAnsi="Times New Roman"/>
                <w:color w:val="000000"/>
              </w:rPr>
              <w:t xml:space="preserve"> </w:t>
            </w:r>
            <w:r w:rsidRPr="00826EA9">
              <w:rPr>
                <w:rFonts w:ascii="Times New Roman" w:hAnsi="Times New Roman"/>
                <w:color w:val="000000"/>
              </w:rPr>
              <w:t>J Virol. 2018;92(5): e01727-17.</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129C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76016" w14:textId="77777777" w:rsidR="003E55C9" w:rsidRDefault="003E55C9">
      <w:pPr>
        <w:pStyle w:val="Header"/>
        <w:pPrChange w:id="2" w:author=" King" w:date="2007-11-09T06:47:00Z">
          <w:pPr/>
        </w:pPrChange>
      </w:pPr>
      <w:r>
        <w:separator/>
      </w:r>
    </w:p>
  </w:endnote>
  <w:endnote w:type="continuationSeparator" w:id="0">
    <w:p w14:paraId="662268B1" w14:textId="77777777" w:rsidR="003E55C9" w:rsidRDefault="003E55C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482E90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5ACD">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5ACD">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DE932" w14:textId="77777777" w:rsidR="003E55C9" w:rsidRDefault="003E55C9">
      <w:pPr>
        <w:pStyle w:val="Header"/>
        <w:pPrChange w:id="0" w:author=" King" w:date="2007-11-09T06:47:00Z">
          <w:pPr/>
        </w:pPrChange>
      </w:pPr>
      <w:r>
        <w:separator/>
      </w:r>
    </w:p>
  </w:footnote>
  <w:footnote w:type="continuationSeparator" w:id="0">
    <w:p w14:paraId="35A26DF8" w14:textId="77777777" w:rsidR="003E55C9" w:rsidRDefault="003E55C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06534"/>
    <w:rsid w:val="00016519"/>
    <w:rsid w:val="00024051"/>
    <w:rsid w:val="000315E5"/>
    <w:rsid w:val="00034DE5"/>
    <w:rsid w:val="000360CB"/>
    <w:rsid w:val="000420CB"/>
    <w:rsid w:val="0004304B"/>
    <w:rsid w:val="0004421D"/>
    <w:rsid w:val="00063762"/>
    <w:rsid w:val="00072CC5"/>
    <w:rsid w:val="00074C66"/>
    <w:rsid w:val="00093DD3"/>
    <w:rsid w:val="000A6DE3"/>
    <w:rsid w:val="000A7E3F"/>
    <w:rsid w:val="000A7F1C"/>
    <w:rsid w:val="000B3132"/>
    <w:rsid w:val="000B3F34"/>
    <w:rsid w:val="000B7774"/>
    <w:rsid w:val="000C0126"/>
    <w:rsid w:val="000C32A9"/>
    <w:rsid w:val="000D2F03"/>
    <w:rsid w:val="000E1C84"/>
    <w:rsid w:val="000F5890"/>
    <w:rsid w:val="000F5A87"/>
    <w:rsid w:val="00100092"/>
    <w:rsid w:val="00104A4B"/>
    <w:rsid w:val="0010595F"/>
    <w:rsid w:val="00114BD4"/>
    <w:rsid w:val="0012008F"/>
    <w:rsid w:val="001219F9"/>
    <w:rsid w:val="0012796D"/>
    <w:rsid w:val="00144D3A"/>
    <w:rsid w:val="00146615"/>
    <w:rsid w:val="001551A8"/>
    <w:rsid w:val="001578A6"/>
    <w:rsid w:val="001664DF"/>
    <w:rsid w:val="001707CF"/>
    <w:rsid w:val="0017329D"/>
    <w:rsid w:val="00173983"/>
    <w:rsid w:val="0017739A"/>
    <w:rsid w:val="001811B7"/>
    <w:rsid w:val="00185699"/>
    <w:rsid w:val="00191C02"/>
    <w:rsid w:val="001946B2"/>
    <w:rsid w:val="001C5EE1"/>
    <w:rsid w:val="001D2DF0"/>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C1FF1"/>
    <w:rsid w:val="002E36D5"/>
    <w:rsid w:val="002F2CF0"/>
    <w:rsid w:val="00300B0A"/>
    <w:rsid w:val="00304104"/>
    <w:rsid w:val="00306A5E"/>
    <w:rsid w:val="00307948"/>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2ED3"/>
    <w:rsid w:val="003A48CF"/>
    <w:rsid w:val="003A4E70"/>
    <w:rsid w:val="003A6C76"/>
    <w:rsid w:val="003B1954"/>
    <w:rsid w:val="003B7125"/>
    <w:rsid w:val="003C4611"/>
    <w:rsid w:val="003D08E5"/>
    <w:rsid w:val="003E02C3"/>
    <w:rsid w:val="003E0BBC"/>
    <w:rsid w:val="003E3AB2"/>
    <w:rsid w:val="003E55C9"/>
    <w:rsid w:val="003E7EEC"/>
    <w:rsid w:val="003F0180"/>
    <w:rsid w:val="003F66F8"/>
    <w:rsid w:val="00400C3B"/>
    <w:rsid w:val="00402B0B"/>
    <w:rsid w:val="00404ECA"/>
    <w:rsid w:val="00410470"/>
    <w:rsid w:val="00413670"/>
    <w:rsid w:val="004152C9"/>
    <w:rsid w:val="00422FF0"/>
    <w:rsid w:val="0043065C"/>
    <w:rsid w:val="004435EC"/>
    <w:rsid w:val="00444E1E"/>
    <w:rsid w:val="00447321"/>
    <w:rsid w:val="0044774D"/>
    <w:rsid w:val="004710EC"/>
    <w:rsid w:val="0047500D"/>
    <w:rsid w:val="00475F56"/>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1D08"/>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E5F5C"/>
    <w:rsid w:val="005F4309"/>
    <w:rsid w:val="005F53C1"/>
    <w:rsid w:val="005F6718"/>
    <w:rsid w:val="00603CFD"/>
    <w:rsid w:val="006071CA"/>
    <w:rsid w:val="0061592E"/>
    <w:rsid w:val="00616487"/>
    <w:rsid w:val="00617B84"/>
    <w:rsid w:val="00623274"/>
    <w:rsid w:val="00624B05"/>
    <w:rsid w:val="00625ACD"/>
    <w:rsid w:val="00633947"/>
    <w:rsid w:val="00635404"/>
    <w:rsid w:val="00636B14"/>
    <w:rsid w:val="00637004"/>
    <w:rsid w:val="00637223"/>
    <w:rsid w:val="00650171"/>
    <w:rsid w:val="00692BE3"/>
    <w:rsid w:val="0069409C"/>
    <w:rsid w:val="006A1735"/>
    <w:rsid w:val="006A2C60"/>
    <w:rsid w:val="006B2EE7"/>
    <w:rsid w:val="006B4123"/>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46DE0"/>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AED"/>
    <w:rsid w:val="007D4C57"/>
    <w:rsid w:val="007D6DB6"/>
    <w:rsid w:val="007E4573"/>
    <w:rsid w:val="007E6C07"/>
    <w:rsid w:val="007F5109"/>
    <w:rsid w:val="0080060B"/>
    <w:rsid w:val="00800BFD"/>
    <w:rsid w:val="00801148"/>
    <w:rsid w:val="00802D02"/>
    <w:rsid w:val="008071B6"/>
    <w:rsid w:val="00820E4D"/>
    <w:rsid w:val="00826EA9"/>
    <w:rsid w:val="008277F3"/>
    <w:rsid w:val="00830785"/>
    <w:rsid w:val="00831F27"/>
    <w:rsid w:val="00835B67"/>
    <w:rsid w:val="008418CD"/>
    <w:rsid w:val="008442CB"/>
    <w:rsid w:val="008563BE"/>
    <w:rsid w:val="00856D15"/>
    <w:rsid w:val="008655D6"/>
    <w:rsid w:val="00872088"/>
    <w:rsid w:val="008762E5"/>
    <w:rsid w:val="00884E97"/>
    <w:rsid w:val="00890FAF"/>
    <w:rsid w:val="00891C67"/>
    <w:rsid w:val="008A612E"/>
    <w:rsid w:val="008B47A2"/>
    <w:rsid w:val="008B6D5E"/>
    <w:rsid w:val="008C2CC4"/>
    <w:rsid w:val="008C7B86"/>
    <w:rsid w:val="008D7736"/>
    <w:rsid w:val="008E10B7"/>
    <w:rsid w:val="008E2333"/>
    <w:rsid w:val="008E4E0F"/>
    <w:rsid w:val="008E736E"/>
    <w:rsid w:val="008F03D2"/>
    <w:rsid w:val="008F1758"/>
    <w:rsid w:val="008F1E2F"/>
    <w:rsid w:val="008F2BEE"/>
    <w:rsid w:val="008F4957"/>
    <w:rsid w:val="008F5FB1"/>
    <w:rsid w:val="008F6DE4"/>
    <w:rsid w:val="009062EF"/>
    <w:rsid w:val="00926A4D"/>
    <w:rsid w:val="00930C73"/>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4E49"/>
    <w:rsid w:val="009F32F7"/>
    <w:rsid w:val="009F602F"/>
    <w:rsid w:val="00A03AA4"/>
    <w:rsid w:val="00A11ACF"/>
    <w:rsid w:val="00A26EB0"/>
    <w:rsid w:val="00A27567"/>
    <w:rsid w:val="00A340DA"/>
    <w:rsid w:val="00A36B4E"/>
    <w:rsid w:val="00A43920"/>
    <w:rsid w:val="00A52629"/>
    <w:rsid w:val="00A56BC8"/>
    <w:rsid w:val="00A70CB9"/>
    <w:rsid w:val="00A724DF"/>
    <w:rsid w:val="00A77BC1"/>
    <w:rsid w:val="00A80214"/>
    <w:rsid w:val="00A84D14"/>
    <w:rsid w:val="00A87A0B"/>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7E7"/>
    <w:rsid w:val="00B86BE8"/>
    <w:rsid w:val="00B91D87"/>
    <w:rsid w:val="00B94E8E"/>
    <w:rsid w:val="00BA3080"/>
    <w:rsid w:val="00BA320B"/>
    <w:rsid w:val="00BB7D24"/>
    <w:rsid w:val="00BD0AB4"/>
    <w:rsid w:val="00BD4541"/>
    <w:rsid w:val="00BD47D7"/>
    <w:rsid w:val="00BE06F9"/>
    <w:rsid w:val="00BE18E9"/>
    <w:rsid w:val="00BF7AA8"/>
    <w:rsid w:val="00C06EE4"/>
    <w:rsid w:val="00C11B12"/>
    <w:rsid w:val="00C12C1B"/>
    <w:rsid w:val="00C15EC4"/>
    <w:rsid w:val="00C165C2"/>
    <w:rsid w:val="00C23A82"/>
    <w:rsid w:val="00C245DB"/>
    <w:rsid w:val="00C309EC"/>
    <w:rsid w:val="00C313D6"/>
    <w:rsid w:val="00C3224F"/>
    <w:rsid w:val="00C443BD"/>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75542"/>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447"/>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D1A1D"/>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2F0F"/>
    <w:rsid w:val="00F44D53"/>
    <w:rsid w:val="00F4759E"/>
    <w:rsid w:val="00F51B71"/>
    <w:rsid w:val="00F60789"/>
    <w:rsid w:val="00F60BB5"/>
    <w:rsid w:val="00F657DF"/>
    <w:rsid w:val="00F66DA7"/>
    <w:rsid w:val="00F72674"/>
    <w:rsid w:val="00F74991"/>
    <w:rsid w:val="00F74D87"/>
    <w:rsid w:val="00F80D0D"/>
    <w:rsid w:val="00F8115A"/>
    <w:rsid w:val="00F81990"/>
    <w:rsid w:val="00F85A70"/>
    <w:rsid w:val="00F912D1"/>
    <w:rsid w:val="00F93153"/>
    <w:rsid w:val="00F95CC4"/>
    <w:rsid w:val="00FA2D02"/>
    <w:rsid w:val="00FA43E3"/>
    <w:rsid w:val="00FC22F7"/>
    <w:rsid w:val="00FC636D"/>
    <w:rsid w:val="00FC66D8"/>
    <w:rsid w:val="00FD1731"/>
    <w:rsid w:val="00FD1DBB"/>
    <w:rsid w:val="00FE11B0"/>
    <w:rsid w:val="00FE509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C48FD5A3-1594-1846-82D5-4EEDB5DC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E4573"/>
    <w:rPr>
      <w:color w:val="605E5C"/>
      <w:shd w:val="clear" w:color="auto" w:fill="E1DFDD"/>
    </w:rPr>
  </w:style>
  <w:style w:type="paragraph" w:styleId="Revision">
    <w:name w:val="Revision"/>
    <w:hidden/>
    <w:uiPriority w:val="99"/>
    <w:semiHidden/>
    <w:rsid w:val="00746DE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mart.krupovic@pasteur.fr" TargetMode="External"/><Relationship Id="rId14" Type="http://schemas.openxmlformats.org/officeDocument/2006/relationships/hyperlink" Target="https://www.ebi.ac.uk/metageno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CE0D4-8503-B047-BAED-8A736B4E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5</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10387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14</cp:revision>
  <cp:lastPrinted>2017-01-11T11:49:00Z</cp:lastPrinted>
  <dcterms:created xsi:type="dcterms:W3CDTF">2019-06-17T22:51:00Z</dcterms:created>
  <dcterms:modified xsi:type="dcterms:W3CDTF">2019-09-16T04:22:00Z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