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51AC98E" w:rsidR="006D1B4E" w:rsidRPr="009320C8" w:rsidRDefault="0005636E" w:rsidP="0005636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5636E">
              <w:rPr>
                <w:rFonts w:ascii="Arial" w:hAnsi="Arial" w:cs="Arial"/>
                <w:b/>
                <w:i/>
                <w:sz w:val="36"/>
                <w:szCs w:val="36"/>
              </w:rPr>
              <w:t>2018.012B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E73CB24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430D39">
              <w:rPr>
                <w:rFonts w:ascii="Arial" w:hAnsi="Arial" w:cs="Arial"/>
                <w:b/>
                <w:i/>
              </w:rPr>
              <w:t>Gamtre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C6D74F1" w:rsidR="00422FF0" w:rsidRPr="009320C8" w:rsidRDefault="0005636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C0E761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636E" w:rsidRPr="0005636E">
              <w:rPr>
                <w:rFonts w:ascii="Arial" w:hAnsi="Arial" w:cs="Arial"/>
                <w:b/>
                <w:sz w:val="22"/>
                <w:szCs w:val="22"/>
              </w:rPr>
              <w:t>2018.012B.N.v1.Gamtrevirus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349E3CE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Gordonia phage </w:t>
      </w:r>
      <w:r w:rsidR="00430D39" w:rsidRPr="00430D39">
        <w:rPr>
          <w:rFonts w:ascii="Arial" w:hAnsi="Arial" w:cs="Arial"/>
          <w:b/>
          <w:sz w:val="20"/>
          <w:szCs w:val="20"/>
          <w:lang w:val="en-GB"/>
        </w:rPr>
        <w:t>GM</w:t>
      </w:r>
      <w:r w:rsidR="00430D39">
        <w:rPr>
          <w:rFonts w:ascii="Arial" w:hAnsi="Arial" w:cs="Arial"/>
          <w:sz w:val="20"/>
          <w:szCs w:val="20"/>
          <w:lang w:val="en-GB"/>
        </w:rPr>
        <w:t>A</w:t>
      </w:r>
      <w:r w:rsidR="00430D39" w:rsidRPr="00430D39">
        <w:rPr>
          <w:rFonts w:ascii="Arial" w:hAnsi="Arial" w:cs="Arial"/>
          <w:b/>
          <w:sz w:val="20"/>
          <w:szCs w:val="20"/>
          <w:lang w:val="en-GB"/>
        </w:rPr>
        <w:t>3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60A1527" w:rsidR="006C4A0C" w:rsidRPr="00393460" w:rsidRDefault="009A6F42" w:rsidP="00430D3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44B3">
        <w:rPr>
          <w:rFonts w:ascii="Arial" w:hAnsi="Arial" w:cs="Arial"/>
          <w:sz w:val="20"/>
          <w:szCs w:val="20"/>
          <w:lang w:val="en-GB"/>
        </w:rPr>
        <w:t>Lytic</w:t>
      </w:r>
      <w:r w:rsidR="007A43E0">
        <w:rPr>
          <w:rFonts w:ascii="Arial" w:hAnsi="Arial" w:cs="Arial"/>
          <w:sz w:val="20"/>
          <w:szCs w:val="20"/>
          <w:lang w:val="en-GB"/>
        </w:rPr>
        <w:t xml:space="preserve">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430D39">
        <w:rPr>
          <w:rFonts w:ascii="Arial" w:hAnsi="Arial" w:cs="Arial"/>
          <w:sz w:val="20"/>
          <w:szCs w:val="20"/>
          <w:lang w:val="en-GB"/>
        </w:rPr>
        <w:t>GMA3</w:t>
      </w:r>
      <w:r w:rsidR="007444B3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was isolated in 201</w:t>
      </w:r>
      <w:r w:rsidR="007A43E0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430D39">
        <w:rPr>
          <w:rFonts w:ascii="Arial" w:hAnsi="Arial" w:cs="Arial"/>
          <w:sz w:val="20"/>
          <w:szCs w:val="20"/>
          <w:lang w:val="en-GB"/>
        </w:rPr>
        <w:t>from</w:t>
      </w:r>
      <w:r w:rsidR="00430D39" w:rsidRPr="00430D39">
        <w:t xml:space="preserve"> </w:t>
      </w:r>
      <w:r w:rsidR="00430D39">
        <w:rPr>
          <w:rFonts w:ascii="Arial" w:hAnsi="Arial" w:cs="Arial"/>
          <w:sz w:val="20"/>
          <w:szCs w:val="20"/>
          <w:lang w:val="en-GB"/>
        </w:rPr>
        <w:t>w</w:t>
      </w:r>
      <w:r w:rsidR="00430D39" w:rsidRPr="00430D39">
        <w:rPr>
          <w:rFonts w:ascii="Arial" w:hAnsi="Arial" w:cs="Arial"/>
          <w:sz w:val="20"/>
          <w:szCs w:val="20"/>
          <w:lang w:val="en-GB"/>
        </w:rPr>
        <w:t>astewater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(</w:t>
      </w:r>
      <w:r w:rsidR="00430D39" w:rsidRPr="00430D39">
        <w:rPr>
          <w:rFonts w:ascii="Arial" w:hAnsi="Arial" w:cs="Arial"/>
          <w:sz w:val="20"/>
          <w:szCs w:val="20"/>
          <w:lang w:val="en-GB"/>
        </w:rPr>
        <w:t>Glenelg,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Australia</w:t>
      </w:r>
      <w:r w:rsidR="00430D39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by </w:t>
      </w:r>
      <w:r w:rsidR="00430D39" w:rsidRPr="00430D39">
        <w:rPr>
          <w:rFonts w:ascii="Arial" w:hAnsi="Arial" w:cs="Arial"/>
          <w:sz w:val="20"/>
          <w:szCs w:val="20"/>
          <w:lang w:val="en-GB"/>
        </w:rPr>
        <w:t xml:space="preserve">Zoe A. Dyson, Joseph Tucci, Robert J. Seviour, </w:t>
      </w:r>
      <w:r w:rsidR="00430D39">
        <w:rPr>
          <w:rFonts w:ascii="Arial" w:hAnsi="Arial" w:cs="Arial"/>
          <w:sz w:val="20"/>
          <w:szCs w:val="20"/>
          <w:lang w:val="en-GB"/>
        </w:rPr>
        <w:t xml:space="preserve">and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Steve Petrovski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La Trobe University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(</w:t>
      </w:r>
      <w:r w:rsidR="00430D39" w:rsidRPr="00430D39">
        <w:rPr>
          <w:rFonts w:ascii="Arial" w:hAnsi="Arial" w:cs="Arial"/>
          <w:sz w:val="20"/>
          <w:szCs w:val="20"/>
          <w:lang w:val="en-GB"/>
        </w:rPr>
        <w:t>Bundoora, Victoria, Australia</w:t>
      </w:r>
      <w:r w:rsidR="00430D39">
        <w:rPr>
          <w:rFonts w:ascii="Arial" w:hAnsi="Arial" w:cs="Arial"/>
          <w:sz w:val="20"/>
          <w:szCs w:val="20"/>
          <w:lang w:val="en-GB"/>
        </w:rPr>
        <w:t>)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393460" w:rsidRPr="00393460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malaquae</w:t>
      </w:r>
      <w:r w:rsidR="00393460" w:rsidRP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the host bacterium. 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It also lyses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G. terrae</w:t>
      </w:r>
      <w:r w:rsidR="00430D39">
        <w:rPr>
          <w:rFonts w:ascii="Arial" w:hAnsi="Arial" w:cs="Arial"/>
          <w:sz w:val="20"/>
          <w:szCs w:val="20"/>
          <w:lang w:val="en-GB"/>
        </w:rPr>
        <w:t xml:space="preserve">.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The phages in this genus belong to </w:t>
      </w:r>
      <w:r w:rsidR="007A43E0">
        <w:rPr>
          <w:rFonts w:ascii="Arial" w:hAnsi="Arial" w:cs="Arial"/>
          <w:sz w:val="20"/>
          <w:szCs w:val="20"/>
          <w:lang w:val="en-GB"/>
        </w:rPr>
        <w:t>c</w:t>
      </w:r>
      <w:r w:rsidR="00393460">
        <w:rPr>
          <w:rFonts w:ascii="Arial" w:hAnsi="Arial" w:cs="Arial"/>
          <w:sz w:val="20"/>
          <w:szCs w:val="20"/>
          <w:lang w:val="en-GB"/>
        </w:rPr>
        <w:t xml:space="preserve">luster </w:t>
      </w:r>
      <w:r w:rsidR="007444B3">
        <w:rPr>
          <w:rFonts w:ascii="Arial" w:hAnsi="Arial" w:cs="Arial"/>
          <w:sz w:val="20"/>
          <w:szCs w:val="20"/>
          <w:lang w:val="en-GB"/>
        </w:rPr>
        <w:t>DF</w:t>
      </w:r>
      <w:r w:rsidR="00430D39">
        <w:rPr>
          <w:rFonts w:ascii="Arial" w:hAnsi="Arial" w:cs="Arial"/>
          <w:sz w:val="20"/>
          <w:szCs w:val="20"/>
          <w:lang w:val="en-GB"/>
        </w:rPr>
        <w:t>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F55F56" w:rsidRPr="008E7E3B" w14:paraId="74EE6D34" w14:textId="34074BB5" w:rsidTr="00E24E9F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430D39" w:rsidRPr="008E7E3B" w14:paraId="7986ECD9" w14:textId="19D1A438" w:rsidTr="00E24E9F">
        <w:tc>
          <w:tcPr>
            <w:tcW w:w="1561" w:type="dxa"/>
          </w:tcPr>
          <w:p w14:paraId="79E0649D" w14:textId="4C5ED25E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GMA3</w:t>
            </w:r>
          </w:p>
        </w:tc>
        <w:tc>
          <w:tcPr>
            <w:tcW w:w="1570" w:type="dxa"/>
            <w:vAlign w:val="center"/>
          </w:tcPr>
          <w:p w14:paraId="5DE053B3" w14:textId="4A58B598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D39">
              <w:t>NC_028668.1</w:t>
            </w:r>
          </w:p>
        </w:tc>
        <w:tc>
          <w:tcPr>
            <w:tcW w:w="1463" w:type="dxa"/>
            <w:vAlign w:val="center"/>
          </w:tcPr>
          <w:p w14:paraId="3080DDA3" w14:textId="12DB79AC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D39">
              <w:t>KR063279.1</w:t>
            </w:r>
          </w:p>
        </w:tc>
        <w:tc>
          <w:tcPr>
            <w:tcW w:w="925" w:type="dxa"/>
            <w:vAlign w:val="center"/>
          </w:tcPr>
          <w:p w14:paraId="5AC380C4" w14:textId="6B217D05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77.8</w:t>
            </w:r>
          </w:p>
        </w:tc>
        <w:tc>
          <w:tcPr>
            <w:tcW w:w="931" w:type="dxa"/>
            <w:vAlign w:val="center"/>
          </w:tcPr>
          <w:p w14:paraId="192FD525" w14:textId="6C822454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51.3</w:t>
            </w:r>
          </w:p>
        </w:tc>
        <w:tc>
          <w:tcPr>
            <w:tcW w:w="984" w:type="dxa"/>
            <w:vAlign w:val="center"/>
          </w:tcPr>
          <w:p w14:paraId="5B109C2B" w14:textId="62A82485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104</w:t>
            </w:r>
          </w:p>
        </w:tc>
        <w:tc>
          <w:tcPr>
            <w:tcW w:w="933" w:type="dxa"/>
            <w:vAlign w:val="center"/>
          </w:tcPr>
          <w:p w14:paraId="27441283" w14:textId="0E139F63" w:rsidR="00430D39" w:rsidRPr="008E7E3B" w:rsidRDefault="00430D39" w:rsidP="00430D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124E3530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BC0230">
        <w:rPr>
          <w:rFonts w:ascii="Arial" w:hAnsi="Arial" w:cs="Arial"/>
          <w:sz w:val="20"/>
          <w:szCs w:val="20"/>
          <w:lang w:val="en-GB"/>
        </w:rPr>
        <w:t xml:space="preserve">Phage </w:t>
      </w:r>
      <w:r w:rsidR="00430D39">
        <w:rPr>
          <w:rFonts w:ascii="Arial" w:hAnsi="Arial" w:cs="Arial"/>
          <w:sz w:val="20"/>
          <w:szCs w:val="20"/>
          <w:lang w:val="en-GB"/>
        </w:rPr>
        <w:t>GMA3</w:t>
      </w:r>
      <w:r w:rsidR="00BC0230">
        <w:rPr>
          <w:rFonts w:ascii="Arial" w:hAnsi="Arial" w:cs="Arial"/>
          <w:sz w:val="20"/>
          <w:szCs w:val="20"/>
          <w:lang w:val="en-GB"/>
        </w:rPr>
        <w:t xml:space="preserve"> is a genomic orphan/singleton.  The closest relative is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BC0230" w:rsidRPr="00BC0230">
        <w:rPr>
          <w:rFonts w:ascii="Arial" w:hAnsi="Arial" w:cs="Arial"/>
          <w:sz w:val="20"/>
          <w:szCs w:val="20"/>
          <w:lang w:val="en-GB"/>
        </w:rPr>
        <w:t xml:space="preserve">Gordonia phage </w:t>
      </w:r>
      <w:r w:rsidR="001B5FD7">
        <w:rPr>
          <w:rFonts w:ascii="Arial" w:hAnsi="Arial" w:cs="Arial"/>
          <w:sz w:val="20"/>
          <w:szCs w:val="20"/>
          <w:lang w:val="en-GB"/>
        </w:rPr>
        <w:t>Jumbo.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3B114D" w14:textId="565AA9AC" w:rsidR="005278F6" w:rsidRPr="0005016D" w:rsidRDefault="005278F6" w:rsidP="00430D39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05016D" w:rsidRPr="0005016D">
        <w:rPr>
          <w:rFonts w:ascii="Arial" w:hAnsi="Arial" w:cs="Arial"/>
          <w:sz w:val="20"/>
          <w:szCs w:val="20"/>
          <w:lang w:val="en-GB"/>
        </w:rPr>
        <w:t>Not examined by EM [1]</w:t>
      </w:r>
    </w:p>
    <w:p w14:paraId="3A135D30" w14:textId="723D16E2" w:rsidR="005278F6" w:rsidRDefault="005278F6" w:rsidP="00BC023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1B3B9A7A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403E200B" w14:textId="28D33E09" w:rsidR="009320C8" w:rsidRDefault="009320C8" w:rsidP="00AC0E72">
      <w:pPr>
        <w:rPr>
          <w:lang w:val="en-GB"/>
        </w:rPr>
      </w:pPr>
    </w:p>
    <w:p w14:paraId="2A600C0E" w14:textId="4AFFAAF2" w:rsidR="00AA601F" w:rsidRDefault="006A011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65E2B51A">
                <wp:simplePos x="0" y="0"/>
                <wp:positionH relativeFrom="margin">
                  <wp:posOffset>1981200</wp:posOffset>
                </wp:positionH>
                <wp:positionV relativeFrom="paragraph">
                  <wp:posOffset>518160</wp:posOffset>
                </wp:positionV>
                <wp:extent cx="3459480" cy="2438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29A9D0" id="Rectangle 5" o:spid="_x0000_s1026" style="position:absolute;margin-left:156pt;margin-top:40.8pt;width:272.4pt;height:19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MF2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" filled="f" strokecolor="red" strokeweight="2.25pt">
                <w10:wrap anchorx="margin"/>
              </v:rect>
            </w:pict>
          </mc:Fallback>
        </mc:AlternateContent>
      </w:r>
      <w:r w:rsidR="007E0D4A">
        <w:rPr>
          <w:noProof/>
          <w:lang w:val="en-GB" w:eastAsia="en-GB"/>
        </w:rPr>
        <w:drawing>
          <wp:inline distT="0" distB="0" distL="0" distR="0" wp14:anchorId="2DAF37D3" wp14:editId="057C820C">
            <wp:extent cx="6007735" cy="5106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jor capsid protein taxonom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27EB8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1: Dyson ZA, Tucci J, Seviour RJ, Petrovski S. Lysis to Kill: Evaluation of the</w:t>
            </w:r>
          </w:p>
          <w:p w14:paraId="7A040F17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 xml:space="preserve">Lytic Abilities, and Genomics of Nine Bacteriophages Infective for Gordonia spp. </w:t>
            </w:r>
          </w:p>
          <w:p w14:paraId="08C3D2AE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and Their Potential Use in Activated Sludge Foam Biocontrol. PLoS One. 2015 Aug</w:t>
            </w:r>
          </w:p>
          <w:p w14:paraId="7FB996D1" w14:textId="5B761149" w:rsidR="00AA601F" w:rsidRPr="00C61931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4;10(8):e0134512.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4C983" w14:textId="77777777" w:rsidR="0048036C" w:rsidRDefault="0048036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38EC97E" w14:textId="77777777" w:rsidR="0048036C" w:rsidRDefault="0048036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5636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5636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61DBC" w14:textId="77777777" w:rsidR="0048036C" w:rsidRDefault="0048036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812277C" w14:textId="77777777" w:rsidR="0048036C" w:rsidRDefault="0048036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016D"/>
    <w:rsid w:val="0005636E"/>
    <w:rsid w:val="00072CC5"/>
    <w:rsid w:val="00074DD1"/>
    <w:rsid w:val="00093DD3"/>
    <w:rsid w:val="000A1912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5FD7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F27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0267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0D39"/>
    <w:rsid w:val="004435EC"/>
    <w:rsid w:val="00444E1E"/>
    <w:rsid w:val="00447321"/>
    <w:rsid w:val="0044774D"/>
    <w:rsid w:val="0045691B"/>
    <w:rsid w:val="004710EC"/>
    <w:rsid w:val="0047500D"/>
    <w:rsid w:val="0048036C"/>
    <w:rsid w:val="004937AC"/>
    <w:rsid w:val="00494623"/>
    <w:rsid w:val="004A350D"/>
    <w:rsid w:val="004A3DAC"/>
    <w:rsid w:val="004A5891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44B3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43112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0230"/>
    <w:rsid w:val="00BC4C01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020D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9A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75308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4795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2018-05-09T18:39:00Z</dcterms:created>
  <dcterms:modified xsi:type="dcterms:W3CDTF">2018-05-09T18:39:00Z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