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415B13CF" w:rsidR="00A174CC" w:rsidRDefault="006F2F18">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4476"/>
        <w:gridCol w:w="2945"/>
      </w:tblGrid>
      <w:tr w:rsidR="00E37077" w:rsidRPr="00C95FB7" w14:paraId="3BAAFFE7" w14:textId="77777777" w:rsidTr="00F3025E">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gridSpan w:val="2"/>
            <w:shd w:val="clear" w:color="auto" w:fill="auto"/>
            <w:vAlign w:val="center"/>
          </w:tcPr>
          <w:p w14:paraId="693BF175" w14:textId="2BAB622A" w:rsidR="00E37077" w:rsidRPr="00C95FB7" w:rsidRDefault="000115DC" w:rsidP="00DD58AA">
            <w:pPr>
              <w:rPr>
                <w:rFonts w:ascii="Aptos" w:hAnsi="Aptos" w:cs="Arial"/>
                <w:sz w:val="20"/>
              </w:rPr>
            </w:pPr>
            <w:r w:rsidRPr="000115DC">
              <w:rPr>
                <w:rFonts w:ascii="Aptos" w:hAnsi="Aptos" w:cs="Arial"/>
                <w:bCs/>
                <w:sz w:val="20"/>
                <w:szCs w:val="20"/>
              </w:rPr>
              <w:t xml:space="preserve">Create a phylum within kingdom </w:t>
            </w:r>
            <w:r w:rsidR="00F07B50">
              <w:rPr>
                <w:rFonts w:ascii="Aptos" w:hAnsi="Aptos" w:cs="Arial"/>
                <w:bCs/>
                <w:sz w:val="20"/>
                <w:szCs w:val="20"/>
              </w:rPr>
              <w:t>‘</w:t>
            </w:r>
            <w:r w:rsidRPr="000115DC">
              <w:rPr>
                <w:rFonts w:ascii="Aptos" w:hAnsi="Aptos" w:cs="Arial"/>
                <w:bCs/>
                <w:i/>
                <w:iCs/>
                <w:sz w:val="20"/>
                <w:szCs w:val="20"/>
              </w:rPr>
              <w:t>Trapavirae</w:t>
            </w:r>
            <w:r w:rsidR="00F07B50">
              <w:rPr>
                <w:rFonts w:ascii="Aptos" w:hAnsi="Aptos" w:cs="Arial"/>
                <w:bCs/>
                <w:i/>
                <w:iCs/>
                <w:sz w:val="20"/>
                <w:szCs w:val="20"/>
              </w:rPr>
              <w:t>’</w:t>
            </w:r>
            <w:r w:rsidRPr="000115DC">
              <w:rPr>
                <w:rFonts w:ascii="Aptos" w:hAnsi="Aptos" w:cs="Arial"/>
                <w:bCs/>
                <w:sz w:val="20"/>
                <w:szCs w:val="20"/>
              </w:rPr>
              <w:t xml:space="preserve"> (realm </w:t>
            </w:r>
            <w:r w:rsidRPr="000115DC">
              <w:rPr>
                <w:rFonts w:ascii="Aptos" w:hAnsi="Aptos" w:cs="Arial"/>
                <w:bCs/>
                <w:i/>
                <w:iCs/>
                <w:sz w:val="20"/>
                <w:szCs w:val="20"/>
              </w:rPr>
              <w:t>Monodnaviria</w:t>
            </w:r>
            <w:r w:rsidRPr="000115DC">
              <w:rPr>
                <w:rFonts w:ascii="Aptos" w:hAnsi="Aptos" w:cs="Arial"/>
                <w:bCs/>
                <w:sz w:val="20"/>
                <w:szCs w:val="20"/>
              </w:rPr>
              <w:t>) for classification of</w:t>
            </w:r>
            <w:r w:rsidRPr="000115DC">
              <w:rPr>
                <w:rFonts w:ascii="Aptos" w:hAnsi="Aptos" w:cs="Arial"/>
                <w:iCs/>
                <w:sz w:val="20"/>
                <w:szCs w:val="20"/>
              </w:rPr>
              <w:t xml:space="preserve"> hyperthermophilic archaeal viruses with pleomorphic virions</w:t>
            </w:r>
          </w:p>
        </w:tc>
      </w:tr>
      <w:tr w:rsidR="00F3025E" w:rsidRPr="00C95FB7" w14:paraId="6479468A" w14:textId="77777777" w:rsidTr="00F3025E">
        <w:trPr>
          <w:gridAfter w:val="1"/>
          <w:wAfter w:w="3195" w:type="dxa"/>
        </w:trPr>
        <w:tc>
          <w:tcPr>
            <w:tcW w:w="1853" w:type="dxa"/>
            <w:shd w:val="clear" w:color="auto" w:fill="F2F2F2" w:themeFill="background1" w:themeFillShade="F2"/>
            <w:vAlign w:val="center"/>
          </w:tcPr>
          <w:p w14:paraId="39458214" w14:textId="7ED90AF4" w:rsidR="00F3025E" w:rsidRPr="00C95FB7" w:rsidRDefault="00F3025E" w:rsidP="00F3025E">
            <w:pPr>
              <w:pStyle w:val="BodyTextIndent"/>
              <w:ind w:left="0" w:firstLine="0"/>
              <w:rPr>
                <w:rFonts w:ascii="Aptos" w:hAnsi="Aptos" w:cs="Arial"/>
                <w:b/>
                <w:i/>
                <w:sz w:val="20"/>
              </w:rPr>
            </w:pPr>
            <w:r w:rsidRPr="00C95FB7">
              <w:rPr>
                <w:rFonts w:ascii="Aptos" w:hAnsi="Aptos" w:cs="Arial"/>
                <w:b/>
                <w:sz w:val="20"/>
              </w:rPr>
              <w:t xml:space="preserve">Code assigned: </w:t>
            </w:r>
          </w:p>
        </w:tc>
        <w:tc>
          <w:tcPr>
            <w:tcW w:w="4166" w:type="dxa"/>
            <w:shd w:val="clear" w:color="auto" w:fill="auto"/>
          </w:tcPr>
          <w:p w14:paraId="3A9C1428" w14:textId="63405DCA" w:rsidR="00F3025E" w:rsidRPr="00AD5A3A" w:rsidRDefault="00F3025E" w:rsidP="00F3025E">
            <w:pPr>
              <w:pStyle w:val="BodyTextIndent"/>
              <w:ind w:left="0" w:firstLine="0"/>
              <w:rPr>
                <w:rFonts w:ascii="Aptos" w:hAnsi="Aptos" w:cs="Arial"/>
                <w:bCs/>
                <w:i/>
                <w:sz w:val="20"/>
              </w:rPr>
            </w:pPr>
            <w:r w:rsidRPr="00055F58">
              <w:rPr>
                <w:rFonts w:ascii="Aptos" w:hAnsi="Aptos" w:cs="Arial"/>
                <w:bCs/>
                <w:iCs/>
                <w:sz w:val="20"/>
              </w:rPr>
              <w:t>2024.004A.</w:t>
            </w:r>
            <w:r>
              <w:rPr>
                <w:rFonts w:ascii="Aptos" w:hAnsi="Aptos" w:cs="Arial"/>
                <w:bCs/>
                <w:iCs/>
                <w:sz w:val="20"/>
              </w:rPr>
              <w:t>N.v1.</w:t>
            </w:r>
            <w:r w:rsidRPr="00055F58">
              <w:rPr>
                <w:rFonts w:ascii="Aptos" w:hAnsi="Aptos" w:cs="Arial"/>
                <w:bCs/>
                <w:iCs/>
                <w:sz w:val="20"/>
              </w:rPr>
              <w:t>Thalassapleoviridae_newphylu</w:t>
            </w:r>
            <w:r>
              <w:rPr>
                <w:rFonts w:ascii="Aptos" w:hAnsi="Aptos" w:cs="Arial"/>
                <w:bCs/>
                <w:iCs/>
                <w:sz w:val="20"/>
              </w:rPr>
              <w:t>m</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57"/>
        <w:gridCol w:w="3595"/>
        <w:gridCol w:w="2488"/>
        <w:gridCol w:w="1583"/>
      </w:tblGrid>
      <w:tr w:rsidR="009703AF" w14:paraId="46D8D295" w14:textId="4B68158E" w:rsidTr="00704681">
        <w:trPr>
          <w:trHeight w:val="173"/>
        </w:trPr>
        <w:tc>
          <w:tcPr>
            <w:tcW w:w="9323" w:type="dxa"/>
            <w:gridSpan w:val="4"/>
            <w:shd w:val="clear" w:color="auto" w:fill="F2F2F2" w:themeFill="background1" w:themeFillShade="F2"/>
          </w:tcPr>
          <w:p w14:paraId="730FC69E" w14:textId="1754044D"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DF72A8">
        <w:trPr>
          <w:trHeight w:val="411"/>
        </w:trPr>
        <w:tc>
          <w:tcPr>
            <w:tcW w:w="1657" w:type="dxa"/>
            <w:shd w:val="clear" w:color="auto" w:fill="F2F2F2" w:themeFill="background1" w:themeFillShade="F2"/>
          </w:tcPr>
          <w:p w14:paraId="52C384EB" w14:textId="2A59CD3B"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595" w:type="dxa"/>
            <w:shd w:val="clear" w:color="auto" w:fill="F2F2F2" w:themeFill="background1" w:themeFillShade="F2"/>
          </w:tcPr>
          <w:p w14:paraId="31CF02AA" w14:textId="122B4DFB"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488" w:type="dxa"/>
            <w:shd w:val="clear" w:color="auto" w:fill="F2F2F2" w:themeFill="background1" w:themeFillShade="F2"/>
          </w:tcPr>
          <w:p w14:paraId="6DA5FEAF" w14:textId="3BCD360B"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524EDC7C"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rsidRPr="00E12F25" w14:paraId="25991084" w14:textId="1F2FA2C1" w:rsidTr="00DF72A8">
        <w:tc>
          <w:tcPr>
            <w:tcW w:w="1657" w:type="dxa"/>
            <w:vAlign w:val="center"/>
          </w:tcPr>
          <w:p w14:paraId="7E9FF899" w14:textId="57BB3DB1" w:rsidR="009703AF" w:rsidRPr="00E12F25" w:rsidRDefault="00DF72A8" w:rsidP="009A3B4A">
            <w:pPr>
              <w:rPr>
                <w:rFonts w:ascii="Aptos" w:hAnsi="Aptos" w:cs="Arial"/>
                <w:bCs/>
                <w:sz w:val="18"/>
                <w:szCs w:val="18"/>
              </w:rPr>
            </w:pPr>
            <w:r w:rsidRPr="00E12F25">
              <w:rPr>
                <w:rFonts w:ascii="Aptos" w:hAnsi="Aptos" w:cs="Arial"/>
                <w:bCs/>
                <w:sz w:val="18"/>
                <w:szCs w:val="18"/>
              </w:rPr>
              <w:t>Baquero DP</w:t>
            </w:r>
          </w:p>
        </w:tc>
        <w:tc>
          <w:tcPr>
            <w:tcW w:w="3595" w:type="dxa"/>
            <w:vAlign w:val="center"/>
          </w:tcPr>
          <w:p w14:paraId="5A10F992" w14:textId="68E6D2D3" w:rsidR="009703AF" w:rsidRPr="00E12F25" w:rsidRDefault="00DF72A8" w:rsidP="009A3B4A">
            <w:pPr>
              <w:rPr>
                <w:rFonts w:ascii="Aptos" w:hAnsi="Aptos" w:cs="Arial"/>
                <w:bCs/>
                <w:sz w:val="18"/>
                <w:szCs w:val="18"/>
                <w:lang w:val="fr-FR"/>
              </w:rPr>
            </w:pPr>
            <w:r w:rsidRPr="00E12F25">
              <w:rPr>
                <w:rFonts w:ascii="Aptos" w:hAnsi="Aptos" w:cs="Arial"/>
                <w:bCs/>
                <w:sz w:val="18"/>
                <w:szCs w:val="18"/>
                <w:lang w:val="fr-FR"/>
              </w:rPr>
              <w:t>Institut Pasteur, Université de Paris, Archaeal Virology Unit, Paris, France</w:t>
            </w:r>
          </w:p>
        </w:tc>
        <w:tc>
          <w:tcPr>
            <w:tcW w:w="2488" w:type="dxa"/>
            <w:vAlign w:val="center"/>
          </w:tcPr>
          <w:p w14:paraId="584336C5" w14:textId="070C05BE" w:rsidR="009703AF" w:rsidRPr="00E12F25" w:rsidRDefault="00DF72A8" w:rsidP="009A3B4A">
            <w:pPr>
              <w:rPr>
                <w:rFonts w:ascii="Aptos" w:hAnsi="Aptos" w:cs="Arial"/>
                <w:bCs/>
                <w:sz w:val="18"/>
                <w:szCs w:val="18"/>
                <w:lang w:val="it-IT"/>
              </w:rPr>
            </w:pPr>
            <w:r w:rsidRPr="00E12F25">
              <w:rPr>
                <w:rFonts w:ascii="Aptos" w:hAnsi="Aptos" w:cs="Arial"/>
                <w:bCs/>
                <w:sz w:val="18"/>
                <w:szCs w:val="18"/>
                <w:lang w:val="it-IT"/>
              </w:rPr>
              <w:t>dp.baquero645@gmail.com</w:t>
            </w:r>
          </w:p>
        </w:tc>
        <w:tc>
          <w:tcPr>
            <w:tcW w:w="1583" w:type="dxa"/>
            <w:vAlign w:val="center"/>
          </w:tcPr>
          <w:p w14:paraId="01837D6A" w14:textId="61C52A51" w:rsidR="009703AF" w:rsidRPr="00E12F25" w:rsidRDefault="009703AF" w:rsidP="009703AF">
            <w:pPr>
              <w:jc w:val="center"/>
              <w:rPr>
                <w:rFonts w:ascii="Aptos" w:hAnsi="Aptos" w:cs="Arial"/>
                <w:bCs/>
                <w:sz w:val="18"/>
                <w:szCs w:val="18"/>
                <w:lang w:val="it-IT"/>
              </w:rPr>
            </w:pPr>
          </w:p>
        </w:tc>
      </w:tr>
      <w:tr w:rsidR="00DF72A8" w:rsidRPr="00E12F25" w14:paraId="1B668FB3" w14:textId="2C6F00EF" w:rsidTr="00DF72A8">
        <w:tc>
          <w:tcPr>
            <w:tcW w:w="1657" w:type="dxa"/>
            <w:vAlign w:val="center"/>
          </w:tcPr>
          <w:p w14:paraId="7C1B4F79" w14:textId="401A0A8E" w:rsidR="00DF72A8" w:rsidRPr="00E12F25" w:rsidRDefault="00DF72A8" w:rsidP="00DF72A8">
            <w:pPr>
              <w:rPr>
                <w:rFonts w:ascii="Aptos" w:hAnsi="Aptos" w:cs="Arial"/>
                <w:bCs/>
                <w:sz w:val="18"/>
                <w:szCs w:val="18"/>
                <w:lang w:val="fr-FR"/>
              </w:rPr>
            </w:pPr>
            <w:r w:rsidRPr="00E12F25">
              <w:rPr>
                <w:rFonts w:ascii="Aptos" w:hAnsi="Aptos" w:cs="Arial"/>
                <w:bCs/>
                <w:sz w:val="18"/>
                <w:szCs w:val="18"/>
                <w:lang w:val="fr-FR"/>
              </w:rPr>
              <w:t>Bignon EA</w:t>
            </w:r>
          </w:p>
        </w:tc>
        <w:tc>
          <w:tcPr>
            <w:tcW w:w="3595" w:type="dxa"/>
            <w:vAlign w:val="center"/>
          </w:tcPr>
          <w:p w14:paraId="3EC4C5A6" w14:textId="69E2993D" w:rsidR="00DF72A8" w:rsidRPr="00E12F25" w:rsidRDefault="00DF72A8" w:rsidP="00DF72A8">
            <w:pPr>
              <w:rPr>
                <w:rFonts w:ascii="Aptos" w:hAnsi="Aptos" w:cs="Arial"/>
                <w:bCs/>
                <w:sz w:val="18"/>
                <w:szCs w:val="18"/>
                <w:lang w:val="fr-FR"/>
              </w:rPr>
            </w:pPr>
            <w:r w:rsidRPr="00E12F25">
              <w:rPr>
                <w:rFonts w:ascii="Aptos" w:hAnsi="Aptos" w:cs="Arial"/>
                <w:bCs/>
                <w:sz w:val="18"/>
                <w:szCs w:val="18"/>
                <w:lang w:val="fr-FR"/>
              </w:rPr>
              <w:t>Institut Pasteur, Université de Paris, Archaeal Virology Unit, Paris, France</w:t>
            </w:r>
          </w:p>
        </w:tc>
        <w:tc>
          <w:tcPr>
            <w:tcW w:w="2488" w:type="dxa"/>
            <w:vAlign w:val="center"/>
          </w:tcPr>
          <w:p w14:paraId="1DDF5257" w14:textId="0069F0F2" w:rsidR="00DF72A8" w:rsidRPr="00E12F25" w:rsidRDefault="00DF72A8" w:rsidP="00DF72A8">
            <w:pPr>
              <w:rPr>
                <w:rFonts w:ascii="Aptos" w:hAnsi="Aptos" w:cs="Arial"/>
                <w:bCs/>
                <w:sz w:val="18"/>
                <w:szCs w:val="18"/>
                <w:lang w:val="it-IT"/>
              </w:rPr>
            </w:pPr>
            <w:r w:rsidRPr="00E12F25">
              <w:rPr>
                <w:rFonts w:ascii="Aptos" w:hAnsi="Aptos" w:cs="Arial"/>
                <w:bCs/>
                <w:sz w:val="18"/>
                <w:szCs w:val="18"/>
                <w:lang w:val="it-IT"/>
              </w:rPr>
              <w:t>eduardo.bignon@pasteur.fr</w:t>
            </w:r>
          </w:p>
        </w:tc>
        <w:tc>
          <w:tcPr>
            <w:tcW w:w="1583" w:type="dxa"/>
            <w:vAlign w:val="center"/>
          </w:tcPr>
          <w:p w14:paraId="398397DC" w14:textId="63F54794" w:rsidR="00DF72A8" w:rsidRPr="00E12F25" w:rsidRDefault="00DF72A8" w:rsidP="00DF72A8">
            <w:pPr>
              <w:jc w:val="center"/>
              <w:rPr>
                <w:rFonts w:ascii="Aptos" w:hAnsi="Aptos" w:cs="Arial"/>
                <w:bCs/>
                <w:sz w:val="18"/>
                <w:szCs w:val="18"/>
                <w:lang w:val="it-IT"/>
              </w:rPr>
            </w:pPr>
          </w:p>
        </w:tc>
      </w:tr>
      <w:tr w:rsidR="00DF72A8" w:rsidRPr="00E12F25" w14:paraId="1EC2C947" w14:textId="08659965" w:rsidTr="00DF72A8">
        <w:tc>
          <w:tcPr>
            <w:tcW w:w="1657" w:type="dxa"/>
            <w:vAlign w:val="center"/>
          </w:tcPr>
          <w:p w14:paraId="48A3936E" w14:textId="7A3C6DB7" w:rsidR="00DF72A8" w:rsidRPr="00E12F25" w:rsidRDefault="00DF72A8" w:rsidP="00DF72A8">
            <w:pPr>
              <w:rPr>
                <w:rFonts w:ascii="Aptos" w:hAnsi="Aptos" w:cs="Arial"/>
                <w:bCs/>
                <w:sz w:val="18"/>
                <w:szCs w:val="18"/>
                <w:lang w:val="fr-FR"/>
              </w:rPr>
            </w:pPr>
            <w:r w:rsidRPr="00E12F25">
              <w:rPr>
                <w:rFonts w:ascii="Aptos" w:hAnsi="Aptos" w:cs="Arial"/>
                <w:bCs/>
                <w:sz w:val="18"/>
                <w:szCs w:val="18"/>
                <w:lang w:val="fr-FR"/>
              </w:rPr>
              <w:t>Krupovic M</w:t>
            </w:r>
          </w:p>
        </w:tc>
        <w:tc>
          <w:tcPr>
            <w:tcW w:w="3595" w:type="dxa"/>
            <w:vAlign w:val="center"/>
          </w:tcPr>
          <w:p w14:paraId="465BAECA" w14:textId="392FBEDE" w:rsidR="00DF72A8" w:rsidRPr="00E12F25" w:rsidRDefault="00DF72A8" w:rsidP="00DF72A8">
            <w:pPr>
              <w:rPr>
                <w:rFonts w:ascii="Aptos" w:hAnsi="Aptos" w:cs="Arial"/>
                <w:bCs/>
                <w:sz w:val="18"/>
                <w:szCs w:val="18"/>
                <w:lang w:val="fr-FR"/>
              </w:rPr>
            </w:pPr>
            <w:r w:rsidRPr="00E12F25">
              <w:rPr>
                <w:rFonts w:ascii="Aptos" w:hAnsi="Aptos" w:cs="Arial"/>
                <w:bCs/>
                <w:sz w:val="18"/>
                <w:szCs w:val="18"/>
                <w:lang w:val="fr-FR"/>
              </w:rPr>
              <w:t>Institut Pasteur, Université de Paris, Archaeal Virology Unit, Paris, France</w:t>
            </w:r>
          </w:p>
        </w:tc>
        <w:tc>
          <w:tcPr>
            <w:tcW w:w="2488" w:type="dxa"/>
            <w:vAlign w:val="center"/>
          </w:tcPr>
          <w:p w14:paraId="464D4E54" w14:textId="314309BC" w:rsidR="00DF72A8" w:rsidRPr="00E12F25" w:rsidRDefault="00DF72A8" w:rsidP="00DF72A8">
            <w:pPr>
              <w:rPr>
                <w:rFonts w:ascii="Aptos" w:hAnsi="Aptos" w:cs="Arial"/>
                <w:bCs/>
                <w:sz w:val="18"/>
                <w:szCs w:val="18"/>
                <w:lang w:val="fr-FR"/>
              </w:rPr>
            </w:pPr>
            <w:r w:rsidRPr="00E12F25">
              <w:rPr>
                <w:rFonts w:ascii="Aptos" w:hAnsi="Aptos" w:cs="Arial"/>
                <w:bCs/>
                <w:sz w:val="18"/>
                <w:szCs w:val="18"/>
                <w:lang w:val="fr-FR"/>
              </w:rPr>
              <w:t>mart.krupovic@pasteur.fr</w:t>
            </w:r>
          </w:p>
        </w:tc>
        <w:tc>
          <w:tcPr>
            <w:tcW w:w="1583" w:type="dxa"/>
            <w:vAlign w:val="center"/>
          </w:tcPr>
          <w:p w14:paraId="3CBA77FB" w14:textId="4213D1F6" w:rsidR="00DF72A8" w:rsidRPr="00E12F25" w:rsidRDefault="00DF72A8" w:rsidP="00DF72A8">
            <w:pPr>
              <w:jc w:val="center"/>
              <w:rPr>
                <w:rFonts w:ascii="Aptos" w:hAnsi="Aptos" w:cs="Arial"/>
                <w:bCs/>
                <w:sz w:val="18"/>
                <w:szCs w:val="18"/>
                <w:lang w:val="fr-FR"/>
              </w:rPr>
            </w:pPr>
            <w:r w:rsidRPr="00E12F25">
              <w:rPr>
                <w:rFonts w:ascii="Aptos" w:hAnsi="Aptos" w:cs="Arial"/>
                <w:bCs/>
                <w:sz w:val="18"/>
                <w:szCs w:val="18"/>
                <w:lang w:val="fr-FR"/>
              </w:rPr>
              <w:t>X</w:t>
            </w:r>
          </w:p>
        </w:tc>
      </w:tr>
    </w:tbl>
    <w:p w14:paraId="070FAC74" w14:textId="7A9A7276" w:rsidR="00A174CC" w:rsidRPr="00DF72A8" w:rsidRDefault="00A174CC" w:rsidP="00DD58AA">
      <w:pPr>
        <w:rPr>
          <w:rFonts w:ascii="Aptos" w:hAnsi="Aptos" w:cs="Arial"/>
          <w:b/>
          <w:sz w:val="20"/>
          <w:szCs w:val="20"/>
          <w:lang w:val="fr-FR"/>
        </w:rPr>
      </w:pPr>
    </w:p>
    <w:p w14:paraId="27ACB96D" w14:textId="77777777" w:rsidR="00D062BE" w:rsidRPr="00DF72A8" w:rsidRDefault="00D062BE">
      <w:pPr>
        <w:rPr>
          <w:rFonts w:ascii="Aptos" w:eastAsia="Times" w:hAnsi="Aptos" w:cs="Arial"/>
          <w:b/>
          <w:color w:val="000000"/>
          <w:sz w:val="20"/>
          <w:szCs w:val="20"/>
          <w:lang w:val="fr-FR" w:eastAsia="en-GB"/>
        </w:rPr>
      </w:pPr>
      <w:r w:rsidRPr="00DF72A8">
        <w:rPr>
          <w:rFonts w:ascii="Aptos" w:eastAsia="Times" w:hAnsi="Aptos" w:cs="Arial"/>
          <w:b/>
          <w:color w:val="000000"/>
          <w:sz w:val="20"/>
          <w:szCs w:val="20"/>
          <w:lang w:val="fr-FR" w:eastAsia="en-GB"/>
        </w:rPr>
        <w:br w:type="page"/>
      </w:r>
    </w:p>
    <w:p w14:paraId="1382B4BD" w14:textId="7A9D794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4"/>
        <w:gridCol w:w="336"/>
        <w:gridCol w:w="4179"/>
        <w:gridCol w:w="326"/>
      </w:tblGrid>
      <w:tr w:rsidR="00683D0C" w14:paraId="02C75B6A" w14:textId="77777777" w:rsidTr="00683D0C">
        <w:tc>
          <w:tcPr>
            <w:tcW w:w="8505" w:type="dxa"/>
            <w:gridSpan w:val="4"/>
            <w:shd w:val="clear" w:color="auto" w:fill="F2F2F2" w:themeFill="background1" w:themeFillShade="F2"/>
          </w:tcPr>
          <w:p w14:paraId="0F928364" w14:textId="5F1BA342"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57F2823C" w:rsidR="00D062BE" w:rsidRDefault="00AC1CF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45EE4286" w14:textId="7A2B55C2"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2229CFD"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E0E4F3E"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7777777" w:rsidR="003A18C5" w:rsidRDefault="003A18C5" w:rsidP="00C95E56">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718D66C"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53ADCA2"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2B96E24"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7D0CCE4E"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C42ACE4" w:rsidR="00DD58AA" w:rsidRPr="00F110F7" w:rsidRDefault="006F2F18"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79C4243A"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598F5FAA" w:rsidR="00953FFE" w:rsidRPr="00055F58" w:rsidRDefault="00055F58" w:rsidP="00DD58AA">
            <w:pPr>
              <w:pStyle w:val="BodyTextIndent"/>
              <w:ind w:left="0" w:firstLine="0"/>
              <w:rPr>
                <w:rFonts w:ascii="Aptos" w:hAnsi="Aptos" w:cs="Arial"/>
                <w:b/>
                <w:iCs/>
                <w:color w:val="000000"/>
                <w:sz w:val="20"/>
              </w:rPr>
            </w:pPr>
            <w:r w:rsidRPr="00055F58">
              <w:rPr>
                <w:rFonts w:ascii="Aptos" w:hAnsi="Aptos" w:cs="Arial"/>
                <w:bCs/>
                <w:iCs/>
                <w:sz w:val="20"/>
              </w:rPr>
              <w:t>2024.004A.</w:t>
            </w:r>
            <w:r w:rsidR="00F3025E">
              <w:rPr>
                <w:rFonts w:ascii="Aptos" w:hAnsi="Aptos" w:cs="Arial"/>
                <w:bCs/>
                <w:iCs/>
                <w:sz w:val="20"/>
              </w:rPr>
              <w:t>N.v1.</w:t>
            </w:r>
            <w:r w:rsidRPr="00055F58">
              <w:rPr>
                <w:rFonts w:ascii="Aptos" w:hAnsi="Aptos" w:cs="Arial"/>
                <w:bCs/>
                <w:iCs/>
                <w:sz w:val="20"/>
              </w:rPr>
              <w:t>Thalassapleoviridae_newphylu</w:t>
            </w:r>
            <w:r w:rsidR="00F3025E">
              <w:rPr>
                <w:rFonts w:ascii="Aptos" w:hAnsi="Aptos" w:cs="Arial"/>
                <w:bCs/>
                <w:iCs/>
                <w:sz w:val="20"/>
              </w:rPr>
              <w:t>m</w:t>
            </w:r>
            <w:r w:rsidRPr="00055F58">
              <w:rPr>
                <w:rFonts w:ascii="Aptos" w:hAnsi="Aptos" w:cs="Arial"/>
                <w:bCs/>
                <w:iCs/>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04F0A792"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8F412A1" w:rsidR="00953FFE" w:rsidRDefault="00AC1CF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596A1FB2"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3973F480" w:rsidR="00DD58AA" w:rsidRDefault="00DD58AA" w:rsidP="00DD58AA">
            <w:pPr>
              <w:rPr>
                <w:rFonts w:ascii="Aptos" w:hAnsi="Aptos" w:cs="Arial"/>
                <w:color w:val="0000FF"/>
                <w:sz w:val="20"/>
                <w:szCs w:val="20"/>
              </w:rPr>
            </w:pPr>
            <w:r w:rsidRPr="00AC1CF1">
              <w:rPr>
                <w:rFonts w:ascii="Aptos" w:hAnsi="Aptos" w:cs="Arial"/>
                <w:b/>
                <w:bCs/>
                <w:sz w:val="20"/>
                <w:szCs w:val="20"/>
              </w:rPr>
              <w:t xml:space="preserve">      </w:t>
            </w:r>
            <w:r w:rsidR="00AC1CF1" w:rsidRPr="00AC1CF1">
              <w:rPr>
                <w:rFonts w:ascii="Aptos" w:hAnsi="Aptos" w:cs="Arial"/>
                <w:b/>
                <w:bCs/>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19DDAA37"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40B9B3F"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r w:rsidR="000115DC">
              <w:rPr>
                <w:rFonts w:ascii="Aptos" w:hAnsi="Aptos" w:cs="Arial"/>
                <w:sz w:val="20"/>
                <w:szCs w:val="20"/>
              </w:rPr>
              <w:t xml:space="preserve"> </w:t>
            </w:r>
            <w:r w:rsidR="000115DC" w:rsidRPr="000115DC">
              <w:rPr>
                <w:rFonts w:ascii="Aptos" w:hAnsi="Aptos" w:cs="Arial"/>
                <w:i/>
                <w:iCs/>
                <w:sz w:val="20"/>
                <w:szCs w:val="20"/>
              </w:rPr>
              <w:t>Monodnaviria</w:t>
            </w:r>
            <w:r w:rsidR="000115DC">
              <w:rPr>
                <w:rFonts w:ascii="Aptos" w:hAnsi="Aptos" w:cs="Arial"/>
                <w:sz w:val="20"/>
                <w:szCs w:val="20"/>
              </w:rPr>
              <w:t xml:space="preserve">, </w:t>
            </w:r>
            <w:r w:rsidR="000115DC" w:rsidRPr="000115DC">
              <w:rPr>
                <w:rFonts w:ascii="Aptos" w:hAnsi="Aptos" w:cs="Arial"/>
                <w:bCs/>
                <w:i/>
                <w:iCs/>
                <w:sz w:val="20"/>
                <w:szCs w:val="20"/>
              </w:rPr>
              <w:t>Trapavirae</w:t>
            </w:r>
          </w:p>
          <w:p w14:paraId="5B42F4CB" w14:textId="77777777" w:rsidR="00A77B8E" w:rsidRPr="00BE4F5A" w:rsidRDefault="00A77B8E" w:rsidP="00DD58AA">
            <w:pPr>
              <w:rPr>
                <w:rFonts w:ascii="Aptos" w:hAnsi="Aptos" w:cs="Arial"/>
                <w:sz w:val="20"/>
                <w:szCs w:val="20"/>
              </w:rPr>
            </w:pPr>
          </w:p>
          <w:p w14:paraId="32B5F2E1" w14:textId="4756BB62" w:rsidR="00A77B8E" w:rsidRPr="00220334"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99517B">
              <w:rPr>
                <w:rFonts w:ascii="Aptos" w:hAnsi="Aptos" w:cs="Arial"/>
                <w:sz w:val="20"/>
                <w:szCs w:val="20"/>
              </w:rPr>
              <w:t xml:space="preserve">Monodnavirian kingdom </w:t>
            </w:r>
            <w:r w:rsidR="0099517B" w:rsidRPr="000115DC">
              <w:rPr>
                <w:rFonts w:ascii="Aptos" w:hAnsi="Aptos" w:cs="Arial"/>
                <w:i/>
                <w:iCs/>
                <w:sz w:val="20"/>
                <w:szCs w:val="20"/>
              </w:rPr>
              <w:t>Trapavirae</w:t>
            </w:r>
            <w:r w:rsidR="0099517B">
              <w:rPr>
                <w:rFonts w:ascii="Aptos" w:hAnsi="Aptos" w:cs="Arial"/>
                <w:sz w:val="20"/>
                <w:szCs w:val="20"/>
              </w:rPr>
              <w:t xml:space="preserve"> currently comprises a single family, </w:t>
            </w:r>
            <w:r w:rsidR="0099517B" w:rsidRPr="000115DC">
              <w:rPr>
                <w:rFonts w:ascii="Aptos" w:hAnsi="Aptos" w:cs="Arial"/>
                <w:i/>
                <w:iCs/>
                <w:sz w:val="20"/>
                <w:szCs w:val="20"/>
              </w:rPr>
              <w:t>Pleolipoviridae</w:t>
            </w:r>
            <w:r w:rsidR="0099517B">
              <w:rPr>
                <w:rFonts w:ascii="Aptos" w:hAnsi="Aptos" w:cs="Arial"/>
                <w:sz w:val="20"/>
                <w:szCs w:val="20"/>
              </w:rPr>
              <w:t>, which includes haloarchaeal viruses with enveloped pleomorphic virions and single-stranded (ss) or double-stranded (ds)DNA genomes.</w:t>
            </w:r>
          </w:p>
          <w:p w14:paraId="1321FC18" w14:textId="77777777" w:rsidR="00A77B8E" w:rsidRPr="00BE4F5A" w:rsidRDefault="00A77B8E" w:rsidP="00DD58AA">
            <w:pPr>
              <w:rPr>
                <w:rFonts w:ascii="Aptos" w:hAnsi="Aptos" w:cs="Arial"/>
                <w:sz w:val="20"/>
                <w:szCs w:val="20"/>
              </w:rPr>
            </w:pPr>
          </w:p>
          <w:p w14:paraId="19D0D4AD" w14:textId="11FC9450"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220334">
              <w:rPr>
                <w:rFonts w:ascii="Aptos" w:hAnsi="Aptos" w:cs="Arial"/>
                <w:sz w:val="20"/>
                <w:szCs w:val="20"/>
              </w:rPr>
              <w:t>Here we propose to classify viruses infecting hyperthermophilic marine archaea, distantly related to pleolipovirids, into a new family,</w:t>
            </w:r>
            <w:r w:rsidRPr="00BE4F5A">
              <w:rPr>
                <w:rFonts w:ascii="Aptos" w:hAnsi="Aptos" w:cs="Arial"/>
                <w:sz w:val="20"/>
                <w:szCs w:val="20"/>
              </w:rPr>
              <w:t xml:space="preserve"> </w:t>
            </w:r>
            <w:r w:rsidR="00220334" w:rsidRPr="00FE3828">
              <w:rPr>
                <w:rFonts w:ascii="Aptos" w:hAnsi="Aptos" w:cs="Arial"/>
                <w:sz w:val="20"/>
                <w:szCs w:val="20"/>
              </w:rPr>
              <w:t>“</w:t>
            </w:r>
            <w:r w:rsidR="00220334" w:rsidRPr="00F07B50">
              <w:rPr>
                <w:rFonts w:ascii="Aptos" w:hAnsi="Aptos" w:cs="Arial"/>
                <w:sz w:val="20"/>
                <w:szCs w:val="20"/>
              </w:rPr>
              <w:t>Thalassapleoviridae</w:t>
            </w:r>
            <w:r w:rsidR="00220334" w:rsidRPr="00FE3828">
              <w:rPr>
                <w:rFonts w:ascii="Aptos" w:hAnsi="Aptos" w:cs="Arial"/>
                <w:sz w:val="20"/>
                <w:szCs w:val="20"/>
              </w:rPr>
              <w:t>”</w:t>
            </w:r>
            <w:r w:rsidR="00220334">
              <w:rPr>
                <w:rFonts w:ascii="Aptos" w:hAnsi="Aptos" w:cs="Arial"/>
                <w:sz w:val="20"/>
                <w:szCs w:val="20"/>
              </w:rPr>
              <w:t xml:space="preserve">, and include it into a new phylum within the kingdom </w:t>
            </w:r>
            <w:r w:rsidR="00220334" w:rsidRPr="00220334">
              <w:rPr>
                <w:rFonts w:ascii="Aptos" w:hAnsi="Aptos" w:cs="Arial"/>
                <w:i/>
                <w:iCs/>
                <w:sz w:val="20"/>
                <w:szCs w:val="20"/>
              </w:rPr>
              <w:t>Trapavirae</w:t>
            </w:r>
            <w:r w:rsidR="00220334">
              <w:rPr>
                <w:rFonts w:ascii="Aptos" w:hAnsi="Aptos" w:cs="Arial"/>
                <w:sz w:val="20"/>
                <w:szCs w:val="20"/>
              </w:rPr>
              <w:t>.</w:t>
            </w:r>
            <w:r w:rsidRPr="00BE4F5A">
              <w:rPr>
                <w:rFonts w:ascii="Aptos" w:hAnsi="Aptos" w:cs="Arial"/>
                <w:sz w:val="20"/>
                <w:szCs w:val="20"/>
              </w:rPr>
              <w:t xml:space="preserve">   </w:t>
            </w:r>
          </w:p>
          <w:p w14:paraId="52CBC545" w14:textId="77777777" w:rsidR="00A77B8E" w:rsidRPr="00BE4F5A" w:rsidRDefault="00A77B8E" w:rsidP="00DD58AA">
            <w:pPr>
              <w:rPr>
                <w:rFonts w:ascii="Aptos" w:hAnsi="Aptos" w:cs="Arial"/>
                <w:sz w:val="20"/>
                <w:szCs w:val="20"/>
              </w:rPr>
            </w:pPr>
          </w:p>
          <w:p w14:paraId="18507DF4" w14:textId="2C1B2601" w:rsidR="00A77B8E" w:rsidRDefault="00A77B8E" w:rsidP="0099517B">
            <w:pPr>
              <w:pStyle w:val="BodyTextIndent"/>
              <w:ind w:left="0" w:firstLine="0"/>
              <w:rPr>
                <w:rFonts w:ascii="Aptos" w:hAnsi="Aptos" w:cs="Arial"/>
                <w:color w:val="0000FF"/>
                <w:sz w:val="20"/>
              </w:rPr>
            </w:pPr>
            <w:r w:rsidRPr="00BE4F5A">
              <w:rPr>
                <w:rFonts w:ascii="Aptos" w:hAnsi="Aptos" w:cs="Arial"/>
                <w:i/>
                <w:sz w:val="20"/>
              </w:rPr>
              <w:t>Justification</w:t>
            </w:r>
            <w:r w:rsidRPr="00BE4F5A">
              <w:rPr>
                <w:rFonts w:ascii="Aptos" w:hAnsi="Aptos" w:cs="Arial"/>
                <w:sz w:val="20"/>
              </w:rPr>
              <w:t>:</w:t>
            </w:r>
            <w:r w:rsidR="0099517B">
              <w:rPr>
                <w:rFonts w:ascii="Aptos" w:hAnsi="Aptos" w:cs="Arial"/>
                <w:sz w:val="20"/>
              </w:rPr>
              <w:t xml:space="preserve"> Whole-genome phylogenomic analysis and maximum likelihood phylogenetic analysis based on the membrane fusion protein characteristic of members of the kingdom </w:t>
            </w:r>
            <w:r w:rsidR="0099517B" w:rsidRPr="00220334">
              <w:rPr>
                <w:rFonts w:ascii="Aptos" w:hAnsi="Aptos" w:cs="Arial"/>
                <w:i/>
                <w:iCs/>
                <w:sz w:val="20"/>
              </w:rPr>
              <w:t>Trapavirae</w:t>
            </w:r>
            <w:r w:rsidR="0099517B">
              <w:rPr>
                <w:rFonts w:ascii="Aptos" w:hAnsi="Aptos" w:cs="Arial"/>
                <w:i/>
                <w:iCs/>
                <w:sz w:val="20"/>
              </w:rPr>
              <w:t xml:space="preserve"> </w:t>
            </w:r>
            <w:r w:rsidR="0099517B">
              <w:rPr>
                <w:rFonts w:ascii="Aptos" w:hAnsi="Aptos" w:cs="Arial"/>
                <w:sz w:val="20"/>
              </w:rPr>
              <w:t>show that members of the proposed family</w:t>
            </w:r>
            <w:r w:rsidR="0099517B" w:rsidRPr="00BE4F5A">
              <w:rPr>
                <w:rFonts w:ascii="Aptos" w:hAnsi="Aptos" w:cs="Arial"/>
                <w:sz w:val="20"/>
              </w:rPr>
              <w:t xml:space="preserve"> </w:t>
            </w:r>
            <w:r w:rsidR="0099517B" w:rsidRPr="00FE3828">
              <w:rPr>
                <w:rFonts w:ascii="Aptos" w:hAnsi="Aptos" w:cs="Arial"/>
                <w:sz w:val="20"/>
              </w:rPr>
              <w:t>“</w:t>
            </w:r>
            <w:r w:rsidR="0099517B" w:rsidRPr="00F07B50">
              <w:rPr>
                <w:rFonts w:ascii="Aptos" w:hAnsi="Aptos" w:cs="Arial"/>
                <w:sz w:val="20"/>
              </w:rPr>
              <w:t>Thalassapleoviridae</w:t>
            </w:r>
            <w:r w:rsidR="0099517B" w:rsidRPr="00FE3828">
              <w:rPr>
                <w:rFonts w:ascii="Aptos" w:hAnsi="Aptos" w:cs="Arial"/>
                <w:sz w:val="20"/>
              </w:rPr>
              <w:t>”</w:t>
            </w:r>
            <w:r w:rsidR="0099517B">
              <w:rPr>
                <w:rFonts w:ascii="Aptos" w:hAnsi="Aptos" w:cs="Arial"/>
                <w:sz w:val="20"/>
              </w:rPr>
              <w:t xml:space="preserve"> form a monophyletic group separate from the haloarchaeal pleolipovirids and currently unclassified related viruses of methanogenic archaea.</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08274B35"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79089997"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F94778" w:rsidRPr="000115DC">
              <w:rPr>
                <w:rFonts w:ascii="Aptos" w:hAnsi="Aptos" w:cs="Arial"/>
                <w:i/>
                <w:iCs/>
                <w:sz w:val="20"/>
                <w:szCs w:val="20"/>
              </w:rPr>
              <w:t>Monodnaviria</w:t>
            </w:r>
            <w:r w:rsidR="00F94778">
              <w:rPr>
                <w:rFonts w:ascii="Aptos" w:hAnsi="Aptos" w:cs="Arial"/>
                <w:sz w:val="20"/>
                <w:szCs w:val="20"/>
              </w:rPr>
              <w:t xml:space="preserve">, </w:t>
            </w:r>
            <w:r w:rsidR="00F94778" w:rsidRPr="000115DC">
              <w:rPr>
                <w:rFonts w:ascii="Aptos" w:hAnsi="Aptos" w:cs="Arial"/>
                <w:bCs/>
                <w:i/>
                <w:iCs/>
                <w:sz w:val="20"/>
                <w:szCs w:val="20"/>
              </w:rPr>
              <w:t>Trapavirae</w:t>
            </w:r>
            <w:r w:rsidRPr="00BE4F5A">
              <w:rPr>
                <w:rFonts w:ascii="Aptos" w:hAnsi="Aptos" w:cs="Arial"/>
                <w:sz w:val="20"/>
                <w:szCs w:val="20"/>
              </w:rPr>
              <w:t xml:space="preserve">     </w:t>
            </w:r>
          </w:p>
          <w:p w14:paraId="6993234E" w14:textId="77777777" w:rsidR="00A77B8E" w:rsidRPr="00BE4F5A" w:rsidRDefault="00A77B8E" w:rsidP="00DD58AA">
            <w:pPr>
              <w:rPr>
                <w:rFonts w:ascii="Aptos" w:hAnsi="Aptos" w:cs="Arial"/>
                <w:sz w:val="20"/>
                <w:szCs w:val="20"/>
              </w:rPr>
            </w:pPr>
          </w:p>
          <w:p w14:paraId="4CBE5628" w14:textId="77777777" w:rsidR="00A77B8E" w:rsidRPr="00BE4F5A" w:rsidRDefault="00A77B8E" w:rsidP="00DD58AA">
            <w:pPr>
              <w:rPr>
                <w:rFonts w:ascii="Aptos" w:hAnsi="Aptos" w:cs="Arial"/>
                <w:sz w:val="20"/>
                <w:szCs w:val="20"/>
              </w:rPr>
            </w:pPr>
          </w:p>
          <w:p w14:paraId="2BEAC398" w14:textId="7A297153"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r w:rsidR="00F94778">
              <w:rPr>
                <w:rFonts w:ascii="Aptos" w:hAnsi="Aptos" w:cs="Arial"/>
                <w:sz w:val="20"/>
                <w:szCs w:val="20"/>
              </w:rPr>
              <w:t xml:space="preserve"> Monodnavirian kingdom </w:t>
            </w:r>
            <w:r w:rsidR="00F94778" w:rsidRPr="000115DC">
              <w:rPr>
                <w:rFonts w:ascii="Aptos" w:hAnsi="Aptos" w:cs="Arial"/>
                <w:i/>
                <w:iCs/>
                <w:sz w:val="20"/>
                <w:szCs w:val="20"/>
              </w:rPr>
              <w:t>Trapavirae</w:t>
            </w:r>
            <w:r w:rsidR="00F94778">
              <w:rPr>
                <w:rFonts w:ascii="Aptos" w:hAnsi="Aptos" w:cs="Arial"/>
                <w:sz w:val="20"/>
                <w:szCs w:val="20"/>
              </w:rPr>
              <w:t xml:space="preserve"> currently </w:t>
            </w:r>
            <w:r w:rsidR="00DC23CE">
              <w:rPr>
                <w:rFonts w:ascii="Aptos" w:hAnsi="Aptos" w:cs="Arial"/>
                <w:sz w:val="20"/>
                <w:szCs w:val="20"/>
              </w:rPr>
              <w:t>comprises</w:t>
            </w:r>
            <w:r w:rsidR="00F94778">
              <w:rPr>
                <w:rFonts w:ascii="Aptos" w:hAnsi="Aptos" w:cs="Arial"/>
                <w:sz w:val="20"/>
                <w:szCs w:val="20"/>
              </w:rPr>
              <w:t xml:space="preserve"> a single family, </w:t>
            </w:r>
            <w:r w:rsidR="00F94778" w:rsidRPr="000115DC">
              <w:rPr>
                <w:rFonts w:ascii="Aptos" w:hAnsi="Aptos" w:cs="Arial"/>
                <w:i/>
                <w:iCs/>
                <w:sz w:val="20"/>
                <w:szCs w:val="20"/>
              </w:rPr>
              <w:t>Pleolipoviridae</w:t>
            </w:r>
            <w:r w:rsidR="00F94778">
              <w:rPr>
                <w:rFonts w:ascii="Aptos" w:hAnsi="Aptos" w:cs="Arial"/>
                <w:sz w:val="20"/>
                <w:szCs w:val="20"/>
              </w:rPr>
              <w:t xml:space="preserve">, which </w:t>
            </w:r>
            <w:r w:rsidR="00DC23CE">
              <w:rPr>
                <w:rFonts w:ascii="Aptos" w:hAnsi="Aptos" w:cs="Arial"/>
                <w:sz w:val="20"/>
                <w:szCs w:val="20"/>
              </w:rPr>
              <w:t>includes</w:t>
            </w:r>
            <w:r w:rsidR="00F94778" w:rsidRPr="00BE4F5A">
              <w:rPr>
                <w:rFonts w:ascii="Aptos" w:hAnsi="Aptos" w:cs="Arial"/>
                <w:sz w:val="20"/>
                <w:szCs w:val="20"/>
              </w:rPr>
              <w:t xml:space="preserve"> </w:t>
            </w:r>
            <w:r w:rsidR="00F94778">
              <w:rPr>
                <w:rFonts w:ascii="Aptos" w:hAnsi="Aptos" w:cs="Arial"/>
                <w:sz w:val="20"/>
                <w:szCs w:val="20"/>
              </w:rPr>
              <w:t>viruses with enveloped pleomorphic virions and single-stranded (ss) or double-stranded (ds)DNA genomes. All members of this family infect hyperhalophilic archaea of the order Halobacteriales</w:t>
            </w:r>
            <w:r w:rsidR="0095071E">
              <w:rPr>
                <w:rFonts w:ascii="Aptos" w:hAnsi="Aptos" w:cs="Arial"/>
                <w:sz w:val="20"/>
                <w:szCs w:val="20"/>
              </w:rPr>
              <w:t xml:space="preserve"> (Liu et al., 2022)</w:t>
            </w:r>
            <w:r w:rsidR="00F94778">
              <w:rPr>
                <w:rFonts w:ascii="Aptos" w:hAnsi="Aptos" w:cs="Arial"/>
                <w:sz w:val="20"/>
                <w:szCs w:val="20"/>
              </w:rPr>
              <w:t>. Pleolipoviruses encode two major structural proteins, a small hydrophobic protein with 3 transmembrane domains, exemplified by VP3 of HRPV1, and a membrane fusion protein, exemplified by VP4 of HRPV1</w:t>
            </w:r>
            <w:r w:rsidR="0095071E">
              <w:rPr>
                <w:rFonts w:ascii="Aptos" w:hAnsi="Aptos" w:cs="Arial"/>
                <w:sz w:val="20"/>
                <w:szCs w:val="20"/>
              </w:rPr>
              <w:t xml:space="preserve"> (Pietil</w:t>
            </w:r>
            <w:r w:rsidR="00E4549F" w:rsidRPr="0095071E">
              <w:rPr>
                <w:rFonts w:ascii="Aptos" w:hAnsi="Aptos" w:cs="Arial"/>
                <w:sz w:val="20"/>
                <w:szCs w:val="20"/>
              </w:rPr>
              <w:t>ä</w:t>
            </w:r>
            <w:r w:rsidR="0095071E">
              <w:rPr>
                <w:rFonts w:ascii="Aptos" w:hAnsi="Aptos" w:cs="Arial"/>
                <w:sz w:val="20"/>
                <w:szCs w:val="20"/>
              </w:rPr>
              <w:t xml:space="preserve"> et al., 2009)</w:t>
            </w:r>
            <w:r w:rsidR="00F94778">
              <w:rPr>
                <w:rFonts w:ascii="Aptos" w:hAnsi="Aptos" w:cs="Arial"/>
                <w:sz w:val="20"/>
                <w:szCs w:val="20"/>
              </w:rPr>
              <w:t>. The latter protein is unrelated to those described in other classified viruses and has a unique V-shaped structural fold</w:t>
            </w:r>
            <w:r w:rsidR="00DC23CE">
              <w:rPr>
                <w:rFonts w:ascii="Aptos" w:hAnsi="Aptos" w:cs="Arial"/>
                <w:sz w:val="20"/>
                <w:szCs w:val="20"/>
              </w:rPr>
              <w:t xml:space="preserve"> (</w:t>
            </w:r>
            <w:r w:rsidR="00DC23CE" w:rsidRPr="00DC23CE">
              <w:rPr>
                <w:rFonts w:ascii="Aptos" w:hAnsi="Aptos" w:cs="Arial"/>
                <w:sz w:val="20"/>
                <w:szCs w:val="20"/>
              </w:rPr>
              <w:t>El Omari</w:t>
            </w:r>
            <w:r w:rsidR="00DC23CE">
              <w:rPr>
                <w:rFonts w:ascii="Aptos" w:hAnsi="Aptos" w:cs="Arial"/>
                <w:sz w:val="20"/>
                <w:szCs w:val="20"/>
              </w:rPr>
              <w:t xml:space="preserve"> et al., 2019)</w:t>
            </w:r>
            <w:r w:rsidR="00F94778">
              <w:rPr>
                <w:rFonts w:ascii="Aptos" w:hAnsi="Aptos" w:cs="Arial"/>
                <w:sz w:val="20"/>
                <w:szCs w:val="20"/>
              </w:rPr>
              <w:t xml:space="preserve">. Recently, three additional groups of archaeal viruses encoding homologs of pleolipoviral VP3 and VP4 were identified. These viruses infect widely different archaeal hosts, namely, methanogens of the </w:t>
            </w:r>
            <w:r w:rsidR="00F94778" w:rsidRPr="00D0689B">
              <w:rPr>
                <w:rFonts w:ascii="Aptos" w:hAnsi="Aptos" w:cs="Arial"/>
                <w:sz w:val="20"/>
                <w:szCs w:val="20"/>
              </w:rPr>
              <w:t>Methanomassiliicoccales and Methanonatronarchaeia</w:t>
            </w:r>
            <w:r w:rsidR="00E4549F">
              <w:rPr>
                <w:rFonts w:ascii="Aptos" w:hAnsi="Aptos" w:cs="Arial"/>
                <w:sz w:val="20"/>
                <w:szCs w:val="20"/>
              </w:rPr>
              <w:t xml:space="preserve"> (Medvedeva et al., 2024)</w:t>
            </w:r>
            <w:r w:rsidR="00F94778">
              <w:rPr>
                <w:rFonts w:ascii="Aptos" w:hAnsi="Aptos" w:cs="Arial"/>
                <w:sz w:val="20"/>
                <w:szCs w:val="20"/>
              </w:rPr>
              <w:t>,</w:t>
            </w:r>
            <w:r w:rsidR="00F94778" w:rsidRPr="00D0689B">
              <w:rPr>
                <w:rFonts w:ascii="Aptos" w:hAnsi="Aptos" w:cs="Arial"/>
                <w:sz w:val="20"/>
                <w:szCs w:val="20"/>
              </w:rPr>
              <w:t xml:space="preserve"> and hyperthermophil</w:t>
            </w:r>
            <w:r w:rsidR="00F94778">
              <w:rPr>
                <w:rFonts w:ascii="Aptos" w:hAnsi="Aptos" w:cs="Arial"/>
                <w:sz w:val="20"/>
                <w:szCs w:val="20"/>
              </w:rPr>
              <w:t>es of the class</w:t>
            </w:r>
            <w:r w:rsidR="00F94778" w:rsidRPr="00D0689B">
              <w:rPr>
                <w:rFonts w:ascii="Aptos" w:hAnsi="Aptos" w:cs="Arial"/>
                <w:sz w:val="20"/>
                <w:szCs w:val="20"/>
              </w:rPr>
              <w:t xml:space="preserve"> Archaeoglobi</w:t>
            </w:r>
            <w:r w:rsidR="00E4549F">
              <w:rPr>
                <w:rFonts w:ascii="Aptos" w:hAnsi="Aptos" w:cs="Arial"/>
                <w:sz w:val="20"/>
                <w:szCs w:val="20"/>
              </w:rPr>
              <w:t xml:space="preserve"> (Baquero et al., 2024)</w:t>
            </w:r>
            <w:r w:rsidR="00F94778">
              <w:rPr>
                <w:rFonts w:ascii="Aptos" w:hAnsi="Aptos" w:cs="Arial"/>
                <w:sz w:val="20"/>
                <w:szCs w:val="20"/>
              </w:rPr>
              <w:t xml:space="preserve">. Here, we propose classification of pleolipovirus relatives infecting </w:t>
            </w:r>
            <w:r w:rsidR="00F94778" w:rsidRPr="00D0689B">
              <w:rPr>
                <w:rFonts w:ascii="Aptos" w:hAnsi="Aptos" w:cs="Arial"/>
                <w:sz w:val="20"/>
                <w:szCs w:val="20"/>
              </w:rPr>
              <w:t>Archaeoglobi</w:t>
            </w:r>
            <w:r w:rsidR="00F94778">
              <w:rPr>
                <w:rFonts w:ascii="Aptos" w:hAnsi="Aptos" w:cs="Arial"/>
                <w:sz w:val="20"/>
                <w:szCs w:val="20"/>
              </w:rPr>
              <w:t xml:space="preserve"> hosts. </w:t>
            </w:r>
            <w:r w:rsidRPr="00BE4F5A">
              <w:rPr>
                <w:rFonts w:ascii="Aptos" w:hAnsi="Aptos" w:cs="Arial"/>
                <w:sz w:val="20"/>
                <w:szCs w:val="20"/>
              </w:rPr>
              <w:t xml:space="preserve">       </w:t>
            </w:r>
          </w:p>
          <w:p w14:paraId="685E6240" w14:textId="77777777" w:rsidR="00A77B8E" w:rsidRPr="00BE4F5A" w:rsidRDefault="00A77B8E" w:rsidP="00DD58AA">
            <w:pPr>
              <w:rPr>
                <w:rFonts w:ascii="Aptos" w:hAnsi="Aptos" w:cs="Arial"/>
                <w:sz w:val="20"/>
                <w:szCs w:val="20"/>
              </w:rPr>
            </w:pPr>
          </w:p>
          <w:p w14:paraId="07EC2EC2" w14:textId="5BA9200A" w:rsidR="00A77B8E"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F94778" w:rsidRPr="00F94778">
              <w:rPr>
                <w:rFonts w:ascii="Aptos" w:hAnsi="Aptos" w:cs="Arial"/>
                <w:sz w:val="20"/>
                <w:szCs w:val="20"/>
              </w:rPr>
              <w:t xml:space="preserve">Analysis of the </w:t>
            </w:r>
            <w:r w:rsidR="00F94778" w:rsidRPr="00F94778">
              <w:rPr>
                <w:rFonts w:ascii="Aptos" w:hAnsi="Aptos" w:cs="Arial"/>
                <w:i/>
                <w:iCs/>
                <w:sz w:val="20"/>
                <w:szCs w:val="20"/>
              </w:rPr>
              <w:t>Archaeoglobus veneficus</w:t>
            </w:r>
            <w:r w:rsidR="00F94778" w:rsidRPr="00F94778">
              <w:rPr>
                <w:rFonts w:ascii="Aptos" w:hAnsi="Aptos" w:cs="Arial"/>
                <w:sz w:val="20"/>
                <w:szCs w:val="20"/>
              </w:rPr>
              <w:t xml:space="preserve"> genome (NC_015320) revealed the presence of a putative provirus of 17.9 kbp flanked by direct repeats of 27 nucleotides, corresponding to putative attachment (att) sites, which w</w:t>
            </w:r>
            <w:r w:rsidR="00F94778">
              <w:rPr>
                <w:rFonts w:ascii="Aptos" w:hAnsi="Aptos" w:cs="Arial"/>
                <w:sz w:val="20"/>
                <w:szCs w:val="20"/>
              </w:rPr>
              <w:t>as</w:t>
            </w:r>
            <w:r w:rsidR="00F94778" w:rsidRPr="00F94778">
              <w:rPr>
                <w:rFonts w:ascii="Aptos" w:hAnsi="Aptos" w:cs="Arial"/>
                <w:sz w:val="20"/>
                <w:szCs w:val="20"/>
              </w:rPr>
              <w:t xml:space="preserve"> </w:t>
            </w:r>
            <w:r w:rsidR="00F94778">
              <w:rPr>
                <w:rFonts w:ascii="Aptos" w:hAnsi="Aptos" w:cs="Arial"/>
                <w:sz w:val="20"/>
                <w:szCs w:val="20"/>
              </w:rPr>
              <w:t>named</w:t>
            </w:r>
            <w:r w:rsidR="00F94778" w:rsidRPr="00F94778">
              <w:rPr>
                <w:rFonts w:ascii="Aptos" w:hAnsi="Aptos" w:cs="Arial"/>
                <w:sz w:val="20"/>
                <w:szCs w:val="20"/>
              </w:rPr>
              <w:t xml:space="preserve"> as Archaeoglobus veneficus </w:t>
            </w:r>
            <w:r w:rsidR="00F94778" w:rsidRPr="00F94778">
              <w:rPr>
                <w:rFonts w:ascii="Aptos" w:hAnsi="Aptos" w:cs="Arial"/>
                <w:sz w:val="20"/>
                <w:szCs w:val="20"/>
              </w:rPr>
              <w:lastRenderedPageBreak/>
              <w:t>pleomorphic virus 1 (AvPV1</w:t>
            </w:r>
            <w:r w:rsidR="00C7713E">
              <w:rPr>
                <w:rFonts w:ascii="Aptos" w:hAnsi="Aptos" w:cs="Arial"/>
                <w:sz w:val="20"/>
                <w:szCs w:val="20"/>
              </w:rPr>
              <w:t>; Baquero et al., 2024)</w:t>
            </w:r>
            <w:r w:rsidR="00F94778" w:rsidRPr="00F94778">
              <w:rPr>
                <w:rFonts w:ascii="Aptos" w:hAnsi="Aptos" w:cs="Arial"/>
                <w:sz w:val="20"/>
                <w:szCs w:val="20"/>
              </w:rPr>
              <w:t>. One of the att sites overlapped a tRNA-Gly gene, whereas the other one was adjacent to the integrase gene.</w:t>
            </w:r>
            <w:r w:rsidR="00F94778">
              <w:rPr>
                <w:rFonts w:ascii="Aptos" w:hAnsi="Aptos" w:cs="Arial"/>
                <w:sz w:val="20"/>
                <w:szCs w:val="20"/>
              </w:rPr>
              <w:t xml:space="preserve"> It was subsequently confirmed by PCR analysis that </w:t>
            </w:r>
            <w:r w:rsidR="00F94778" w:rsidRPr="00F94778">
              <w:rPr>
                <w:rFonts w:ascii="Aptos" w:hAnsi="Aptos" w:cs="Arial"/>
                <w:sz w:val="20"/>
                <w:szCs w:val="20"/>
              </w:rPr>
              <w:t xml:space="preserve">the virus is active and is released into the cell-free culture supernatants of </w:t>
            </w:r>
            <w:r w:rsidR="00F94778" w:rsidRPr="00F94778">
              <w:rPr>
                <w:rFonts w:ascii="Aptos" w:hAnsi="Aptos" w:cs="Arial"/>
                <w:i/>
                <w:iCs/>
                <w:sz w:val="20"/>
                <w:szCs w:val="20"/>
              </w:rPr>
              <w:t>A. veneficus</w:t>
            </w:r>
            <w:r w:rsidR="008D47FE">
              <w:rPr>
                <w:rFonts w:ascii="Aptos" w:hAnsi="Aptos" w:cs="Arial"/>
                <w:sz w:val="20"/>
                <w:szCs w:val="20"/>
              </w:rPr>
              <w:t>.</w:t>
            </w:r>
            <w:r w:rsidR="00F94778">
              <w:rPr>
                <w:rFonts w:ascii="Aptos" w:hAnsi="Aptos" w:cs="Arial"/>
                <w:i/>
                <w:iCs/>
                <w:sz w:val="20"/>
                <w:szCs w:val="20"/>
              </w:rPr>
              <w:t xml:space="preserve"> </w:t>
            </w:r>
            <w:r w:rsidR="008D47FE">
              <w:rPr>
                <w:rFonts w:ascii="Aptos" w:hAnsi="Aptos" w:cs="Arial"/>
                <w:sz w:val="20"/>
                <w:szCs w:val="20"/>
              </w:rPr>
              <w:t>P</w:t>
            </w:r>
            <w:r w:rsidR="00F94778">
              <w:rPr>
                <w:rFonts w:ascii="Aptos" w:hAnsi="Aptos" w:cs="Arial"/>
                <w:sz w:val="20"/>
                <w:szCs w:val="20"/>
              </w:rPr>
              <w:t xml:space="preserve">leomorphic virus-like particles </w:t>
            </w:r>
            <w:r w:rsidR="008D47FE">
              <w:rPr>
                <w:rFonts w:ascii="Aptos" w:hAnsi="Aptos" w:cs="Arial"/>
                <w:sz w:val="20"/>
                <w:szCs w:val="20"/>
              </w:rPr>
              <w:t xml:space="preserve">of ~53 nm in diameter, resembling those produced by haloarchaeal pleolipoviruses, </w:t>
            </w:r>
            <w:r w:rsidR="00F94778">
              <w:rPr>
                <w:rFonts w:ascii="Aptos" w:hAnsi="Aptos" w:cs="Arial"/>
                <w:sz w:val="20"/>
                <w:szCs w:val="20"/>
              </w:rPr>
              <w:t xml:space="preserve">were </w:t>
            </w:r>
            <w:r w:rsidR="008D47FE">
              <w:rPr>
                <w:rFonts w:ascii="Aptos" w:hAnsi="Aptos" w:cs="Arial"/>
                <w:sz w:val="20"/>
                <w:szCs w:val="20"/>
              </w:rPr>
              <w:t xml:space="preserve">also </w:t>
            </w:r>
            <w:r w:rsidR="00F94778">
              <w:rPr>
                <w:rFonts w:ascii="Aptos" w:hAnsi="Aptos" w:cs="Arial"/>
                <w:sz w:val="20"/>
                <w:szCs w:val="20"/>
              </w:rPr>
              <w:t>observed in the cell-free supernatants</w:t>
            </w:r>
            <w:r w:rsidR="00404628">
              <w:rPr>
                <w:rFonts w:ascii="Aptos" w:hAnsi="Aptos" w:cs="Arial"/>
                <w:sz w:val="20"/>
                <w:szCs w:val="20"/>
              </w:rPr>
              <w:t xml:space="preserve"> (Fig. 1A)</w:t>
            </w:r>
            <w:r w:rsidR="00F94778">
              <w:rPr>
                <w:rFonts w:ascii="Aptos" w:hAnsi="Aptos" w:cs="Arial"/>
                <w:sz w:val="20"/>
                <w:szCs w:val="20"/>
              </w:rPr>
              <w:t xml:space="preserve">. </w:t>
            </w:r>
          </w:p>
          <w:p w14:paraId="1CD01F9F" w14:textId="77777777" w:rsidR="00F94778" w:rsidRDefault="00F94778" w:rsidP="00DD58AA">
            <w:pPr>
              <w:rPr>
                <w:rFonts w:ascii="Aptos" w:hAnsi="Aptos" w:cs="Arial"/>
                <w:sz w:val="20"/>
                <w:szCs w:val="20"/>
              </w:rPr>
            </w:pPr>
          </w:p>
          <w:p w14:paraId="4BC72B49" w14:textId="497BD483" w:rsidR="00F94778" w:rsidRPr="00BE4F5A" w:rsidRDefault="00F94778" w:rsidP="00DD58AA">
            <w:pPr>
              <w:rPr>
                <w:rFonts w:ascii="Aptos" w:hAnsi="Aptos" w:cs="Arial"/>
                <w:sz w:val="20"/>
                <w:szCs w:val="20"/>
              </w:rPr>
            </w:pPr>
            <w:r w:rsidRPr="00F94778">
              <w:rPr>
                <w:rFonts w:ascii="Aptos" w:hAnsi="Aptos" w:cs="Arial"/>
                <w:sz w:val="20"/>
                <w:szCs w:val="20"/>
              </w:rPr>
              <w:t xml:space="preserve">The genome of AvPV1 contains 31 open reading frames (ORFs) (Fig. 1B). </w:t>
            </w:r>
            <w:r>
              <w:rPr>
                <w:rFonts w:ascii="Aptos" w:hAnsi="Aptos" w:cs="Arial"/>
                <w:sz w:val="20"/>
                <w:szCs w:val="20"/>
              </w:rPr>
              <w:t>S</w:t>
            </w:r>
            <w:r w:rsidRPr="00F94778">
              <w:rPr>
                <w:rFonts w:ascii="Aptos" w:hAnsi="Aptos" w:cs="Arial"/>
                <w:sz w:val="20"/>
                <w:szCs w:val="20"/>
              </w:rPr>
              <w:t xml:space="preserve">ensitive profile–profile comparisons with HHpred </w:t>
            </w:r>
            <w:r w:rsidR="008D47FE">
              <w:rPr>
                <w:rFonts w:ascii="Aptos" w:hAnsi="Aptos" w:cs="Arial"/>
                <w:sz w:val="20"/>
                <w:szCs w:val="20"/>
              </w:rPr>
              <w:t>showed</w:t>
            </w:r>
            <w:r w:rsidRPr="00F94778">
              <w:rPr>
                <w:rFonts w:ascii="Aptos" w:hAnsi="Aptos" w:cs="Arial"/>
                <w:sz w:val="20"/>
                <w:szCs w:val="20"/>
              </w:rPr>
              <w:t xml:space="preserve"> that AvPV1 carries a block of genes characteristic of pleolipoviruses. In particular, ORF4 and ORF6 encode homologs of the two major structural pleolipovirus proteins, VP3-like integral membrane protein and VP4-like fusogen, respectively. Structural modeling of the AvPV1 VP4-like protein confirmed that it has the same V-shaped fold as the fusogens of bona fide pleolipoviruses (Fig. </w:t>
            </w:r>
            <w:r>
              <w:rPr>
                <w:rFonts w:ascii="Aptos" w:hAnsi="Aptos" w:cs="Arial"/>
                <w:sz w:val="20"/>
                <w:szCs w:val="20"/>
              </w:rPr>
              <w:t>2</w:t>
            </w:r>
            <w:r w:rsidRPr="00F94778">
              <w:rPr>
                <w:rFonts w:ascii="Aptos" w:hAnsi="Aptos" w:cs="Arial"/>
                <w:sz w:val="20"/>
                <w:szCs w:val="20"/>
              </w:rPr>
              <w:t>). In addition, ORF8 and ORF10 encode homologs of the conserved HRPV1 protein ORF6 of unknown function and the putative NTPase, respectively (Fig. 1B). Similar to gammapleolipovirus His2, AvPV1 appears to encode a second divergent copy (ORF5) of a putative spike/fusion protein (HHpred probability of 87.9%). Overall, these results indicate</w:t>
            </w:r>
            <w:r w:rsidR="00FE3828">
              <w:rPr>
                <w:rFonts w:ascii="Aptos" w:hAnsi="Aptos" w:cs="Arial"/>
                <w:sz w:val="20"/>
                <w:szCs w:val="20"/>
              </w:rPr>
              <w:t>d</w:t>
            </w:r>
            <w:r w:rsidRPr="00F94778">
              <w:rPr>
                <w:rFonts w:ascii="Aptos" w:hAnsi="Aptos" w:cs="Arial"/>
                <w:sz w:val="20"/>
                <w:szCs w:val="20"/>
              </w:rPr>
              <w:t xml:space="preserve"> that AvPV1 is distantly related to pleolipoviruses of halophilic archaea and is the first representative of this virus lineage associated with marine archaea</w:t>
            </w:r>
            <w:r w:rsidR="00C7713E">
              <w:rPr>
                <w:rFonts w:ascii="Aptos" w:hAnsi="Aptos" w:cs="Arial"/>
                <w:sz w:val="20"/>
                <w:szCs w:val="20"/>
              </w:rPr>
              <w:t xml:space="preserve"> (Baquero et al., 2024)</w:t>
            </w:r>
            <w:r w:rsidRPr="00F94778">
              <w:rPr>
                <w:rFonts w:ascii="Aptos" w:hAnsi="Aptos" w:cs="Arial"/>
                <w:sz w:val="20"/>
                <w:szCs w:val="20"/>
              </w:rPr>
              <w:t>.</w:t>
            </w:r>
          </w:p>
          <w:p w14:paraId="0ACA8579" w14:textId="77777777" w:rsidR="00A77B8E" w:rsidRPr="00BE4F5A" w:rsidRDefault="00A77B8E" w:rsidP="00DD58AA">
            <w:pPr>
              <w:rPr>
                <w:rFonts w:ascii="Aptos" w:hAnsi="Aptos" w:cs="Arial"/>
                <w:sz w:val="20"/>
                <w:szCs w:val="20"/>
              </w:rPr>
            </w:pPr>
          </w:p>
          <w:p w14:paraId="166F20E4" w14:textId="102BFBAF" w:rsidR="00A77B8E" w:rsidRDefault="008D47FE" w:rsidP="00DD58AA">
            <w:pPr>
              <w:rPr>
                <w:rFonts w:ascii="Aptos" w:hAnsi="Aptos" w:cs="Arial"/>
                <w:sz w:val="20"/>
                <w:szCs w:val="20"/>
              </w:rPr>
            </w:pPr>
            <w:r>
              <w:rPr>
                <w:rFonts w:ascii="Aptos" w:hAnsi="Aptos" w:cs="Arial"/>
                <w:sz w:val="20"/>
                <w:szCs w:val="20"/>
              </w:rPr>
              <w:t>S</w:t>
            </w:r>
            <w:r w:rsidR="00FE3828" w:rsidRPr="00FE3828">
              <w:rPr>
                <w:rFonts w:ascii="Aptos" w:hAnsi="Aptos" w:cs="Arial"/>
                <w:sz w:val="20"/>
                <w:szCs w:val="20"/>
              </w:rPr>
              <w:t>earche</w:t>
            </w:r>
            <w:r>
              <w:rPr>
                <w:rFonts w:ascii="Aptos" w:hAnsi="Aptos" w:cs="Arial"/>
                <w:sz w:val="20"/>
                <w:szCs w:val="20"/>
              </w:rPr>
              <w:t>s</w:t>
            </w:r>
            <w:r w:rsidR="00FE3828" w:rsidRPr="00FE3828">
              <w:rPr>
                <w:rFonts w:ascii="Aptos" w:hAnsi="Aptos" w:cs="Arial"/>
                <w:sz w:val="20"/>
                <w:szCs w:val="20"/>
              </w:rPr>
              <w:t xml:space="preserve"> for AvPV1 VP4-like homologs in the Whole Genome Shotgun and non-redundant protein sequence databases at the National Center for Biotechnology Information (NCBI) and the Integrated Microbial Genomes/Virus database using TBLASTN or BLASTP (E-value≤1e-5) yielded 19 contigs originating from geographically remote hydrothermal vents</w:t>
            </w:r>
            <w:r w:rsidR="00C7713E">
              <w:rPr>
                <w:rFonts w:ascii="Aptos" w:hAnsi="Aptos" w:cs="Arial"/>
                <w:sz w:val="20"/>
                <w:szCs w:val="20"/>
              </w:rPr>
              <w:t xml:space="preserve"> (Baquero et al., 2024)</w:t>
            </w:r>
            <w:r w:rsidR="00FE3828" w:rsidRPr="00FE3828">
              <w:rPr>
                <w:rFonts w:ascii="Aptos" w:hAnsi="Aptos" w:cs="Arial"/>
                <w:sz w:val="20"/>
                <w:szCs w:val="20"/>
              </w:rPr>
              <w:t xml:space="preserve">. Eight of the contigs corresponded to complete or nearly complete viral genomes (Fig. </w:t>
            </w:r>
            <w:r>
              <w:rPr>
                <w:rFonts w:ascii="Aptos" w:hAnsi="Aptos" w:cs="Arial"/>
                <w:sz w:val="20"/>
                <w:szCs w:val="20"/>
              </w:rPr>
              <w:t>3</w:t>
            </w:r>
            <w:r w:rsidR="00FE3828" w:rsidRPr="00FE3828">
              <w:rPr>
                <w:rFonts w:ascii="Aptos" w:hAnsi="Aptos" w:cs="Arial"/>
                <w:sz w:val="20"/>
                <w:szCs w:val="20"/>
              </w:rPr>
              <w:t xml:space="preserve">). Three of the complete viral genomes were detected as proviruses integrated in the genomes of </w:t>
            </w:r>
            <w:r w:rsidR="00FE3828" w:rsidRPr="008D47FE">
              <w:rPr>
                <w:rFonts w:ascii="Aptos" w:hAnsi="Aptos" w:cs="Arial"/>
                <w:i/>
                <w:iCs/>
                <w:sz w:val="20"/>
                <w:szCs w:val="20"/>
              </w:rPr>
              <w:t>Archaeoglobus profundus</w:t>
            </w:r>
            <w:r w:rsidR="00FE3828" w:rsidRPr="00FE3828">
              <w:rPr>
                <w:rFonts w:ascii="Aptos" w:hAnsi="Aptos" w:cs="Arial"/>
                <w:sz w:val="20"/>
                <w:szCs w:val="20"/>
              </w:rPr>
              <w:t xml:space="preserve"> DSM 5631, </w:t>
            </w:r>
            <w:r w:rsidR="00FE3828" w:rsidRPr="008D47FE">
              <w:rPr>
                <w:rFonts w:ascii="Aptos" w:hAnsi="Aptos" w:cs="Arial"/>
                <w:i/>
                <w:iCs/>
                <w:sz w:val="20"/>
                <w:szCs w:val="20"/>
              </w:rPr>
              <w:t>Geoglobus acetivorans</w:t>
            </w:r>
            <w:r w:rsidR="00FE3828" w:rsidRPr="00FE3828">
              <w:rPr>
                <w:rFonts w:ascii="Aptos" w:hAnsi="Aptos" w:cs="Arial"/>
                <w:sz w:val="20"/>
                <w:szCs w:val="20"/>
              </w:rPr>
              <w:t xml:space="preserve"> SBH6, and </w:t>
            </w:r>
            <w:r w:rsidR="00FE3828" w:rsidRPr="008D47FE">
              <w:rPr>
                <w:rFonts w:ascii="Aptos" w:hAnsi="Aptos" w:cs="Arial"/>
                <w:i/>
                <w:iCs/>
                <w:sz w:val="20"/>
                <w:szCs w:val="20"/>
              </w:rPr>
              <w:t>Geoglobus ahangari</w:t>
            </w:r>
            <w:r w:rsidR="00FE3828" w:rsidRPr="00FE3828">
              <w:rPr>
                <w:rFonts w:ascii="Aptos" w:hAnsi="Aptos" w:cs="Arial"/>
                <w:sz w:val="20"/>
                <w:szCs w:val="20"/>
              </w:rPr>
              <w:t xml:space="preserve"> 234, suggesting that hyperthermophilic pleomorphic viruses are primarily associated with members of the class Archaeoglobi. The identified viruses exhibit a similar arrangement of the core structural genes to that of AvPV1, but all of them lack the second copy of the spike protein gene (Fig. </w:t>
            </w:r>
            <w:r>
              <w:rPr>
                <w:rFonts w:ascii="Aptos" w:hAnsi="Aptos" w:cs="Arial"/>
                <w:sz w:val="20"/>
                <w:szCs w:val="20"/>
              </w:rPr>
              <w:t>3</w:t>
            </w:r>
            <w:r w:rsidR="00FE3828" w:rsidRPr="00FE3828">
              <w:rPr>
                <w:rFonts w:ascii="Aptos" w:hAnsi="Aptos" w:cs="Arial"/>
                <w:sz w:val="20"/>
                <w:szCs w:val="20"/>
              </w:rPr>
              <w:t xml:space="preserve">). Similar to AvPV1, the VP4-like fusogen of the identified viruses also exhibits a V-shaped fold (Fig. </w:t>
            </w:r>
            <w:r w:rsidR="007C683C">
              <w:rPr>
                <w:rFonts w:ascii="Aptos" w:hAnsi="Aptos" w:cs="Arial"/>
                <w:sz w:val="20"/>
                <w:szCs w:val="20"/>
              </w:rPr>
              <w:t>2</w:t>
            </w:r>
            <w:r w:rsidR="00FE3828" w:rsidRPr="00FE3828">
              <w:rPr>
                <w:rFonts w:ascii="Aptos" w:hAnsi="Aptos" w:cs="Arial"/>
                <w:sz w:val="20"/>
                <w:szCs w:val="20"/>
              </w:rPr>
              <w:t xml:space="preserve">). </w:t>
            </w:r>
            <w:r w:rsidR="00871DD1">
              <w:rPr>
                <w:rFonts w:ascii="Aptos" w:hAnsi="Aptos" w:cs="Arial"/>
                <w:sz w:val="20"/>
                <w:szCs w:val="20"/>
              </w:rPr>
              <w:t>Here</w:t>
            </w:r>
            <w:r w:rsidR="00FE3828" w:rsidRPr="00FE3828">
              <w:rPr>
                <w:rFonts w:ascii="Aptos" w:hAnsi="Aptos" w:cs="Arial"/>
                <w:sz w:val="20"/>
                <w:szCs w:val="20"/>
              </w:rPr>
              <w:t xml:space="preserve">, we </w:t>
            </w:r>
            <w:r w:rsidR="004C7CCC">
              <w:rPr>
                <w:rFonts w:ascii="Aptos" w:hAnsi="Aptos" w:cs="Arial"/>
                <w:sz w:val="20"/>
                <w:szCs w:val="20"/>
              </w:rPr>
              <w:t>propose to classify</w:t>
            </w:r>
            <w:r w:rsidR="00FE3828" w:rsidRPr="00FE3828">
              <w:rPr>
                <w:rFonts w:ascii="Aptos" w:hAnsi="Aptos" w:cs="Arial"/>
                <w:sz w:val="20"/>
                <w:szCs w:val="20"/>
              </w:rPr>
              <w:t xml:space="preserve"> AvPV1</w:t>
            </w:r>
            <w:r>
              <w:rPr>
                <w:rFonts w:ascii="Aptos" w:hAnsi="Aptos" w:cs="Arial"/>
                <w:sz w:val="20"/>
                <w:szCs w:val="20"/>
              </w:rPr>
              <w:t>-like viruses</w:t>
            </w:r>
            <w:r w:rsidR="00FE3828" w:rsidRPr="00FE3828">
              <w:rPr>
                <w:rFonts w:ascii="Aptos" w:hAnsi="Aptos" w:cs="Arial"/>
                <w:sz w:val="20"/>
                <w:szCs w:val="20"/>
              </w:rPr>
              <w:t xml:space="preserve"> </w:t>
            </w:r>
            <w:r w:rsidR="004C7CCC">
              <w:rPr>
                <w:rFonts w:ascii="Aptos" w:hAnsi="Aptos" w:cs="Arial"/>
                <w:sz w:val="20"/>
                <w:szCs w:val="20"/>
              </w:rPr>
              <w:t>into</w:t>
            </w:r>
            <w:r w:rsidR="00FE3828" w:rsidRPr="00FE3828">
              <w:rPr>
                <w:rFonts w:ascii="Aptos" w:hAnsi="Aptos" w:cs="Arial"/>
                <w:sz w:val="20"/>
                <w:szCs w:val="20"/>
              </w:rPr>
              <w:t xml:space="preserve"> a new virus family, “</w:t>
            </w:r>
            <w:r w:rsidR="00FE3828" w:rsidRPr="00F07B50">
              <w:rPr>
                <w:rFonts w:ascii="Aptos" w:hAnsi="Aptos" w:cs="Arial"/>
                <w:sz w:val="20"/>
                <w:szCs w:val="20"/>
              </w:rPr>
              <w:t>Thalassapleoviridae</w:t>
            </w:r>
            <w:r w:rsidR="00FE3828" w:rsidRPr="00FE3828">
              <w:rPr>
                <w:rFonts w:ascii="Aptos" w:hAnsi="Aptos" w:cs="Arial"/>
                <w:sz w:val="20"/>
                <w:szCs w:val="20"/>
              </w:rPr>
              <w:t>”</w:t>
            </w:r>
            <w:r w:rsidR="004C7CCC">
              <w:rPr>
                <w:rFonts w:ascii="Aptos" w:hAnsi="Aptos" w:cs="Arial"/>
                <w:sz w:val="20"/>
                <w:szCs w:val="20"/>
              </w:rPr>
              <w:t>,</w:t>
            </w:r>
            <w:r w:rsidR="00FE3828" w:rsidRPr="00FE3828">
              <w:rPr>
                <w:rFonts w:ascii="Aptos" w:hAnsi="Aptos" w:cs="Arial"/>
                <w:sz w:val="20"/>
                <w:szCs w:val="20"/>
              </w:rPr>
              <w:t xml:space="preserve"> after Thalassa, the primordial Greek goddess of the sea.</w:t>
            </w:r>
          </w:p>
          <w:p w14:paraId="7903B7C7" w14:textId="77777777" w:rsidR="00FE3828" w:rsidRDefault="00FE3828" w:rsidP="00DD58AA">
            <w:pPr>
              <w:rPr>
                <w:rFonts w:ascii="Aptos" w:hAnsi="Aptos" w:cs="Arial"/>
                <w:sz w:val="20"/>
                <w:szCs w:val="20"/>
              </w:rPr>
            </w:pPr>
          </w:p>
          <w:p w14:paraId="266FF254" w14:textId="2205E952" w:rsidR="00273642" w:rsidRDefault="00273642" w:rsidP="00DD58AA">
            <w:pPr>
              <w:rPr>
                <w:rFonts w:ascii="Aptos" w:hAnsi="Aptos" w:cs="Arial"/>
                <w:i/>
                <w:sz w:val="20"/>
                <w:szCs w:val="20"/>
              </w:rPr>
            </w:pPr>
            <w:r>
              <w:rPr>
                <w:rFonts w:ascii="Aptos" w:hAnsi="Aptos" w:cs="Arial"/>
                <w:i/>
                <w:sz w:val="20"/>
                <w:szCs w:val="20"/>
              </w:rPr>
              <w:t>Demarcation criteria:</w:t>
            </w:r>
            <w:r w:rsidR="008D47FE">
              <w:rPr>
                <w:rFonts w:ascii="Aptos" w:hAnsi="Aptos" w:cs="Arial"/>
                <w:sz w:val="20"/>
                <w:szCs w:val="20"/>
              </w:rPr>
              <w:t xml:space="preserve"> </w:t>
            </w:r>
            <w:r w:rsidR="00B42E86" w:rsidRPr="00B42E86">
              <w:rPr>
                <w:rFonts w:ascii="Aptos" w:hAnsi="Aptos" w:cs="Arial"/>
                <w:sz w:val="20"/>
                <w:szCs w:val="20"/>
              </w:rPr>
              <w:t xml:space="preserve">we propose using 95% sequence identity as a species demarcation criterion, to be consistent with the classification of other bacterial and archaeal </w:t>
            </w:r>
            <w:r w:rsidR="00B42E86">
              <w:rPr>
                <w:rFonts w:ascii="Aptos" w:hAnsi="Aptos" w:cs="Arial"/>
                <w:sz w:val="20"/>
                <w:szCs w:val="20"/>
              </w:rPr>
              <w:t xml:space="preserve">DNA </w:t>
            </w:r>
            <w:r w:rsidR="00B42E86" w:rsidRPr="00B42E86">
              <w:rPr>
                <w:rFonts w:ascii="Aptos" w:hAnsi="Aptos" w:cs="Arial"/>
                <w:sz w:val="20"/>
                <w:szCs w:val="20"/>
              </w:rPr>
              <w:t>viruses</w:t>
            </w:r>
            <w:r w:rsidR="00B42E86">
              <w:rPr>
                <w:rFonts w:ascii="Aptos" w:hAnsi="Aptos" w:cs="Arial"/>
                <w:sz w:val="20"/>
                <w:szCs w:val="20"/>
              </w:rPr>
              <w:t>, including pleolipoviruses</w:t>
            </w:r>
            <w:r w:rsidR="007C683C">
              <w:rPr>
                <w:rFonts w:ascii="Aptos" w:hAnsi="Aptos" w:cs="Arial"/>
                <w:sz w:val="20"/>
                <w:szCs w:val="20"/>
              </w:rPr>
              <w:t xml:space="preserve"> (Liu et al., 2022)</w:t>
            </w:r>
            <w:r w:rsidR="00B42E86" w:rsidRPr="00B42E86">
              <w:rPr>
                <w:rFonts w:ascii="Aptos" w:hAnsi="Aptos" w:cs="Arial"/>
                <w:sz w:val="20"/>
                <w:szCs w:val="20"/>
              </w:rPr>
              <w:t>.</w:t>
            </w:r>
            <w:r w:rsidR="00B42E86">
              <w:rPr>
                <w:rFonts w:ascii="Aptos" w:hAnsi="Aptos" w:cs="Arial"/>
                <w:sz w:val="20"/>
                <w:szCs w:val="20"/>
              </w:rPr>
              <w:t xml:space="preserve"> Viruses will be assigned to different genera </w:t>
            </w:r>
            <w:r w:rsidR="007C683C">
              <w:rPr>
                <w:rFonts w:ascii="Aptos" w:hAnsi="Aptos" w:cs="Arial"/>
                <w:sz w:val="20"/>
                <w:szCs w:val="20"/>
              </w:rPr>
              <w:t xml:space="preserve">based on differences in </w:t>
            </w:r>
            <w:r w:rsidR="00B42E86">
              <w:rPr>
                <w:rFonts w:ascii="Aptos" w:hAnsi="Aptos" w:cs="Arial"/>
                <w:sz w:val="20"/>
                <w:szCs w:val="20"/>
              </w:rPr>
              <w:t xml:space="preserve">the gene contents and </w:t>
            </w:r>
            <w:r w:rsidR="007C683C">
              <w:rPr>
                <w:rFonts w:ascii="Aptos" w:hAnsi="Aptos" w:cs="Arial"/>
                <w:sz w:val="20"/>
                <w:szCs w:val="20"/>
              </w:rPr>
              <w:t xml:space="preserve">if they </w:t>
            </w:r>
            <w:r w:rsidR="00B42E86">
              <w:rPr>
                <w:rFonts w:ascii="Aptos" w:hAnsi="Aptos" w:cs="Arial"/>
                <w:sz w:val="20"/>
                <w:szCs w:val="20"/>
              </w:rPr>
              <w:t>form</w:t>
            </w:r>
            <w:r w:rsidR="00B42E86" w:rsidRPr="00B42E86">
              <w:rPr>
                <w:rFonts w:ascii="Aptos" w:hAnsi="Aptos" w:cs="Arial"/>
                <w:sz w:val="20"/>
                <w:szCs w:val="20"/>
              </w:rPr>
              <w:t xml:space="preserve"> monophyletic groups </w:t>
            </w:r>
            <w:r w:rsidR="00B42E86">
              <w:rPr>
                <w:rFonts w:ascii="Aptos" w:hAnsi="Aptos" w:cs="Arial"/>
                <w:sz w:val="20"/>
                <w:szCs w:val="20"/>
              </w:rPr>
              <w:t>in</w:t>
            </w:r>
            <w:r w:rsidR="00B42E86" w:rsidRPr="00B42E86">
              <w:rPr>
                <w:rFonts w:ascii="Aptos" w:hAnsi="Aptos" w:cs="Arial"/>
                <w:sz w:val="20"/>
                <w:szCs w:val="20"/>
              </w:rPr>
              <w:t xml:space="preserve"> phylogenomic analys</w:t>
            </w:r>
            <w:r w:rsidR="00B42E86">
              <w:rPr>
                <w:rFonts w:ascii="Aptos" w:hAnsi="Aptos" w:cs="Arial"/>
                <w:sz w:val="20"/>
                <w:szCs w:val="20"/>
              </w:rPr>
              <w:t>e</w:t>
            </w:r>
            <w:r w:rsidR="00B42E86" w:rsidRPr="00B42E86">
              <w:rPr>
                <w:rFonts w:ascii="Aptos" w:hAnsi="Aptos" w:cs="Arial"/>
                <w:sz w:val="20"/>
                <w:szCs w:val="20"/>
              </w:rPr>
              <w:t xml:space="preserve">s of the whole genome </w:t>
            </w:r>
            <w:r w:rsidR="00B42E86">
              <w:rPr>
                <w:rFonts w:ascii="Aptos" w:hAnsi="Aptos" w:cs="Arial"/>
                <w:sz w:val="20"/>
                <w:szCs w:val="20"/>
              </w:rPr>
              <w:t>proteomes</w:t>
            </w:r>
            <w:r w:rsidR="00B42E86" w:rsidRPr="00B42E86">
              <w:rPr>
                <w:rFonts w:ascii="Aptos" w:hAnsi="Aptos" w:cs="Arial"/>
                <w:sz w:val="20"/>
                <w:szCs w:val="20"/>
              </w:rPr>
              <w:t>.</w:t>
            </w:r>
            <w:r w:rsidR="004C7CCC">
              <w:rPr>
                <w:rFonts w:ascii="Aptos" w:hAnsi="Aptos" w:cs="Arial"/>
                <w:sz w:val="20"/>
                <w:szCs w:val="20"/>
              </w:rPr>
              <w:t xml:space="preserve"> </w:t>
            </w:r>
          </w:p>
          <w:p w14:paraId="16FAFB1C" w14:textId="77777777" w:rsidR="00273642" w:rsidRDefault="00273642" w:rsidP="00DD58AA">
            <w:pPr>
              <w:rPr>
                <w:rFonts w:ascii="Aptos" w:hAnsi="Aptos" w:cs="Arial"/>
                <w:i/>
                <w:sz w:val="20"/>
                <w:szCs w:val="20"/>
              </w:rPr>
            </w:pPr>
          </w:p>
          <w:p w14:paraId="7D13C79B" w14:textId="77777777" w:rsidR="00871DD1" w:rsidRDefault="00A77B8E" w:rsidP="004C7CCC">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25CB875E" w14:textId="56ABF827" w:rsidR="00871DD1" w:rsidRDefault="00871DD1" w:rsidP="004C7CCC">
            <w:pPr>
              <w:rPr>
                <w:rFonts w:ascii="Aptos" w:hAnsi="Aptos" w:cs="Arial"/>
                <w:sz w:val="20"/>
                <w:szCs w:val="20"/>
              </w:rPr>
            </w:pPr>
            <w:r w:rsidRPr="00871DD1">
              <w:rPr>
                <w:rFonts w:ascii="Aptos" w:hAnsi="Aptos" w:cs="Arial"/>
                <w:i/>
                <w:iCs/>
                <w:sz w:val="20"/>
                <w:szCs w:val="20"/>
              </w:rPr>
              <w:t>Justification for species</w:t>
            </w:r>
            <w:r>
              <w:rPr>
                <w:rFonts w:ascii="Aptos" w:hAnsi="Aptos" w:cs="Arial"/>
                <w:sz w:val="20"/>
                <w:szCs w:val="20"/>
              </w:rPr>
              <w:t xml:space="preserve">: </w:t>
            </w:r>
            <w:r w:rsidR="004C7CCC">
              <w:rPr>
                <w:rFonts w:ascii="Aptos" w:hAnsi="Aptos" w:cs="Arial"/>
                <w:sz w:val="20"/>
                <w:szCs w:val="20"/>
              </w:rPr>
              <w:t xml:space="preserve">Five complete genomes of </w:t>
            </w:r>
            <w:r w:rsidR="004C7CCC" w:rsidRPr="00FE3828">
              <w:rPr>
                <w:rFonts w:ascii="Aptos" w:hAnsi="Aptos" w:cs="Arial"/>
                <w:sz w:val="20"/>
                <w:szCs w:val="20"/>
              </w:rPr>
              <w:t>AvPV1</w:t>
            </w:r>
            <w:r w:rsidR="004C7CCC">
              <w:rPr>
                <w:rFonts w:ascii="Aptos" w:hAnsi="Aptos" w:cs="Arial"/>
                <w:sz w:val="20"/>
                <w:szCs w:val="20"/>
              </w:rPr>
              <w:t>-like viruses are available in GenBank</w:t>
            </w:r>
            <w:r w:rsidR="000A1FC7">
              <w:rPr>
                <w:rFonts w:ascii="Aptos" w:hAnsi="Aptos" w:cs="Arial"/>
                <w:sz w:val="20"/>
                <w:szCs w:val="20"/>
              </w:rPr>
              <w:t xml:space="preserve"> (Table 1)</w:t>
            </w:r>
            <w:r w:rsidR="004C7CCC">
              <w:rPr>
                <w:rFonts w:ascii="Aptos" w:hAnsi="Aptos" w:cs="Arial"/>
                <w:sz w:val="20"/>
                <w:szCs w:val="20"/>
              </w:rPr>
              <w:t xml:space="preserve">. Pairwise comparison of the genome sequences showed that all of them share less than 95% sequence identity across the genome length and thus represent distinct species. </w:t>
            </w:r>
          </w:p>
          <w:p w14:paraId="19D6E5A4" w14:textId="77777777" w:rsidR="00871DD1" w:rsidRDefault="00871DD1" w:rsidP="004C7CCC">
            <w:pPr>
              <w:rPr>
                <w:rFonts w:ascii="Aptos" w:hAnsi="Aptos" w:cs="Arial"/>
                <w:sz w:val="20"/>
                <w:szCs w:val="20"/>
              </w:rPr>
            </w:pPr>
          </w:p>
          <w:p w14:paraId="0506C527" w14:textId="77777777" w:rsidR="00871DD1" w:rsidRDefault="00871DD1" w:rsidP="004C7CCC">
            <w:pPr>
              <w:rPr>
                <w:rFonts w:ascii="Aptos" w:hAnsi="Aptos" w:cs="Arial"/>
                <w:sz w:val="20"/>
                <w:szCs w:val="20"/>
              </w:rPr>
            </w:pPr>
            <w:r w:rsidRPr="00871DD1">
              <w:rPr>
                <w:rFonts w:ascii="Aptos" w:hAnsi="Aptos" w:cs="Arial"/>
                <w:i/>
                <w:iCs/>
                <w:sz w:val="20"/>
                <w:szCs w:val="20"/>
              </w:rPr>
              <w:t xml:space="preserve">Justification for </w:t>
            </w:r>
            <w:r>
              <w:rPr>
                <w:rFonts w:ascii="Aptos" w:hAnsi="Aptos" w:cs="Arial"/>
                <w:i/>
                <w:iCs/>
                <w:sz w:val="20"/>
                <w:szCs w:val="20"/>
              </w:rPr>
              <w:t>genera</w:t>
            </w:r>
            <w:r>
              <w:rPr>
                <w:rFonts w:ascii="Aptos" w:hAnsi="Aptos" w:cs="Arial"/>
                <w:sz w:val="20"/>
                <w:szCs w:val="20"/>
              </w:rPr>
              <w:t xml:space="preserve">: </w:t>
            </w:r>
            <w:r w:rsidR="002200EC" w:rsidRPr="00FE3828">
              <w:rPr>
                <w:rFonts w:ascii="Aptos" w:hAnsi="Aptos" w:cs="Arial"/>
                <w:sz w:val="20"/>
                <w:szCs w:val="20"/>
              </w:rPr>
              <w:t xml:space="preserve">There are notable differences between viruses associated with </w:t>
            </w:r>
            <w:r w:rsidR="002200EC" w:rsidRPr="008D47FE">
              <w:rPr>
                <w:rFonts w:ascii="Aptos" w:hAnsi="Aptos" w:cs="Arial"/>
                <w:i/>
                <w:iCs/>
                <w:sz w:val="20"/>
                <w:szCs w:val="20"/>
              </w:rPr>
              <w:t>Archaeoglobus</w:t>
            </w:r>
            <w:r w:rsidR="002200EC" w:rsidRPr="00FE3828">
              <w:rPr>
                <w:rFonts w:ascii="Aptos" w:hAnsi="Aptos" w:cs="Arial"/>
                <w:sz w:val="20"/>
                <w:szCs w:val="20"/>
              </w:rPr>
              <w:t xml:space="preserve"> and </w:t>
            </w:r>
            <w:r w:rsidR="002200EC" w:rsidRPr="008D47FE">
              <w:rPr>
                <w:rFonts w:ascii="Aptos" w:hAnsi="Aptos" w:cs="Arial"/>
                <w:i/>
                <w:iCs/>
                <w:sz w:val="20"/>
                <w:szCs w:val="20"/>
              </w:rPr>
              <w:t>Geoglobus</w:t>
            </w:r>
            <w:r w:rsidR="002200EC" w:rsidRPr="00FE3828">
              <w:rPr>
                <w:rFonts w:ascii="Aptos" w:hAnsi="Aptos" w:cs="Arial"/>
                <w:sz w:val="20"/>
                <w:szCs w:val="20"/>
              </w:rPr>
              <w:t xml:space="preserve"> hosts. In particular, the two groups of viruses encode at least two non-orthologous groups of integrases of the tyrosine recombinase superfamily. Furthermore, viruses of </w:t>
            </w:r>
            <w:r w:rsidR="002200EC" w:rsidRPr="008D47FE">
              <w:rPr>
                <w:rFonts w:ascii="Aptos" w:hAnsi="Aptos" w:cs="Arial"/>
                <w:i/>
                <w:iCs/>
                <w:sz w:val="20"/>
                <w:szCs w:val="20"/>
              </w:rPr>
              <w:t>Geoglobus</w:t>
            </w:r>
            <w:r w:rsidR="002200EC" w:rsidRPr="00FE3828">
              <w:rPr>
                <w:rFonts w:ascii="Aptos" w:hAnsi="Aptos" w:cs="Arial"/>
                <w:sz w:val="20"/>
                <w:szCs w:val="20"/>
              </w:rPr>
              <w:t xml:space="preserve"> </w:t>
            </w:r>
            <w:r w:rsidR="004C7CCC">
              <w:rPr>
                <w:rFonts w:ascii="Aptos" w:hAnsi="Aptos" w:cs="Arial"/>
                <w:sz w:val="20"/>
                <w:szCs w:val="20"/>
              </w:rPr>
              <w:t>(</w:t>
            </w:r>
            <w:r w:rsidR="004C7CCC" w:rsidRPr="004C7CCC">
              <w:rPr>
                <w:rFonts w:ascii="Aptos" w:hAnsi="Aptos" w:cs="Arial"/>
                <w:sz w:val="20"/>
                <w:szCs w:val="20"/>
              </w:rPr>
              <w:t>GacPV1</w:t>
            </w:r>
            <w:r w:rsidR="004C7CCC">
              <w:rPr>
                <w:rFonts w:ascii="Aptos" w:hAnsi="Aptos" w:cs="Arial"/>
                <w:sz w:val="20"/>
                <w:szCs w:val="20"/>
              </w:rPr>
              <w:t xml:space="preserve">, </w:t>
            </w:r>
            <w:r w:rsidR="004C7CCC" w:rsidRPr="004C7CCC">
              <w:rPr>
                <w:rFonts w:ascii="Aptos" w:hAnsi="Aptos" w:cs="Arial"/>
                <w:sz w:val="20"/>
                <w:szCs w:val="20"/>
              </w:rPr>
              <w:t>GahPV1</w:t>
            </w:r>
            <w:r w:rsidR="004C7CCC">
              <w:rPr>
                <w:rFonts w:ascii="Aptos" w:hAnsi="Aptos" w:cs="Arial"/>
                <w:sz w:val="20"/>
                <w:szCs w:val="20"/>
              </w:rPr>
              <w:t xml:space="preserve"> and </w:t>
            </w:r>
            <w:r w:rsidR="004C7CCC" w:rsidRPr="004C7CCC">
              <w:rPr>
                <w:rFonts w:ascii="Aptos" w:hAnsi="Aptos" w:cs="Arial"/>
                <w:sz w:val="20"/>
                <w:szCs w:val="20"/>
              </w:rPr>
              <w:t>ThalV2</w:t>
            </w:r>
            <w:r w:rsidR="004C7CCC">
              <w:rPr>
                <w:rFonts w:ascii="Aptos" w:hAnsi="Aptos" w:cs="Arial"/>
                <w:sz w:val="20"/>
                <w:szCs w:val="20"/>
              </w:rPr>
              <w:t>)</w:t>
            </w:r>
            <w:r w:rsidR="004C7CCC" w:rsidRPr="004C7CCC">
              <w:rPr>
                <w:rFonts w:ascii="Aptos" w:hAnsi="Aptos" w:cs="Arial"/>
                <w:sz w:val="20"/>
                <w:szCs w:val="20"/>
              </w:rPr>
              <w:t xml:space="preserve"> </w:t>
            </w:r>
            <w:r w:rsidR="002200EC" w:rsidRPr="00FE3828">
              <w:rPr>
                <w:rFonts w:ascii="Aptos" w:hAnsi="Aptos" w:cs="Arial"/>
                <w:sz w:val="20"/>
                <w:szCs w:val="20"/>
              </w:rPr>
              <w:t xml:space="preserve">encode a putative rolling-circle replication endonucleases (RCRE) of the HUH superfamily, likely responsible for the genome replication initiation. </w:t>
            </w:r>
            <w:r w:rsidR="000A1FC7">
              <w:rPr>
                <w:rFonts w:ascii="Aptos" w:hAnsi="Aptos" w:cs="Arial"/>
                <w:sz w:val="20"/>
                <w:szCs w:val="20"/>
              </w:rPr>
              <w:t xml:space="preserve">By contrast, obvious candidates for genome replication proteins could not be identified in AvPV1 and ApPV1. A characteristic feature of </w:t>
            </w:r>
            <w:r w:rsidR="00832BEF" w:rsidRPr="00FE3828">
              <w:rPr>
                <w:rFonts w:ascii="Aptos" w:hAnsi="Aptos" w:cs="Arial"/>
                <w:sz w:val="20"/>
                <w:szCs w:val="20"/>
              </w:rPr>
              <w:t>AvPV1</w:t>
            </w:r>
            <w:r w:rsidR="000A1FC7">
              <w:rPr>
                <w:rFonts w:ascii="Aptos" w:hAnsi="Aptos" w:cs="Arial"/>
                <w:sz w:val="20"/>
                <w:szCs w:val="20"/>
              </w:rPr>
              <w:t xml:space="preserve"> is that it encodes a second copy of a putative spike/fusion protein, which distinguishes it from ApPV1. Indeed, AvPV1 and ApPV1 do not share genes outside of the morphogenesis and integration modules. Furthermore, AvPV1</w:t>
            </w:r>
            <w:r w:rsidR="00832BEF">
              <w:rPr>
                <w:rFonts w:ascii="Aptos" w:hAnsi="Aptos" w:cs="Arial"/>
                <w:sz w:val="20"/>
                <w:szCs w:val="20"/>
              </w:rPr>
              <w:t xml:space="preserve"> consistently formed an outgroup to the rest of the viruses in both phylogenomic analysis and m</w:t>
            </w:r>
            <w:r w:rsidR="00B42E86" w:rsidRPr="00FE3828">
              <w:rPr>
                <w:rFonts w:ascii="Aptos" w:hAnsi="Aptos" w:cs="Arial"/>
                <w:sz w:val="20"/>
                <w:szCs w:val="20"/>
              </w:rPr>
              <w:t>aximum likelihood phylogenetic analysis of the VP4-like fusogens</w:t>
            </w:r>
            <w:r w:rsidR="002200EC">
              <w:rPr>
                <w:rFonts w:ascii="Aptos" w:hAnsi="Aptos" w:cs="Arial"/>
                <w:sz w:val="20"/>
                <w:szCs w:val="20"/>
              </w:rPr>
              <w:t xml:space="preserve"> (Fig</w:t>
            </w:r>
            <w:r w:rsidR="00832BEF">
              <w:rPr>
                <w:rFonts w:ascii="Aptos" w:hAnsi="Aptos" w:cs="Arial"/>
                <w:sz w:val="20"/>
                <w:szCs w:val="20"/>
              </w:rPr>
              <w:t>s</w:t>
            </w:r>
            <w:r w:rsidR="002200EC">
              <w:rPr>
                <w:rFonts w:ascii="Aptos" w:hAnsi="Aptos" w:cs="Arial"/>
                <w:sz w:val="20"/>
                <w:szCs w:val="20"/>
              </w:rPr>
              <w:t xml:space="preserve">. </w:t>
            </w:r>
            <w:r w:rsidR="00832BEF">
              <w:rPr>
                <w:rFonts w:ascii="Aptos" w:hAnsi="Aptos" w:cs="Arial"/>
                <w:sz w:val="20"/>
                <w:szCs w:val="20"/>
              </w:rPr>
              <w:t xml:space="preserve">4 and </w:t>
            </w:r>
            <w:r w:rsidR="002200EC">
              <w:rPr>
                <w:rFonts w:ascii="Aptos" w:hAnsi="Aptos" w:cs="Arial"/>
                <w:sz w:val="20"/>
                <w:szCs w:val="20"/>
              </w:rPr>
              <w:t>5)</w:t>
            </w:r>
            <w:r w:rsidR="00B42E86" w:rsidRPr="00FE3828">
              <w:rPr>
                <w:rFonts w:ascii="Aptos" w:hAnsi="Aptos" w:cs="Arial"/>
                <w:sz w:val="20"/>
                <w:szCs w:val="20"/>
              </w:rPr>
              <w:t xml:space="preserve">. </w:t>
            </w:r>
            <w:r w:rsidR="0090002D">
              <w:rPr>
                <w:rFonts w:ascii="Aptos" w:hAnsi="Aptos" w:cs="Arial"/>
                <w:sz w:val="20"/>
                <w:szCs w:val="20"/>
              </w:rPr>
              <w:t xml:space="preserve">Thus, we suggest creating 3 genera to accommodate the 5 </w:t>
            </w:r>
            <w:r w:rsidR="0090002D" w:rsidRPr="00FE3828">
              <w:rPr>
                <w:rFonts w:ascii="Aptos" w:hAnsi="Aptos" w:cs="Arial"/>
                <w:sz w:val="20"/>
                <w:szCs w:val="20"/>
              </w:rPr>
              <w:t>AvPV1</w:t>
            </w:r>
            <w:r w:rsidR="0090002D">
              <w:rPr>
                <w:rFonts w:ascii="Aptos" w:hAnsi="Aptos" w:cs="Arial"/>
                <w:sz w:val="20"/>
                <w:szCs w:val="20"/>
              </w:rPr>
              <w:t>-like viruses</w:t>
            </w:r>
            <w:r w:rsidR="000A1FC7">
              <w:rPr>
                <w:rFonts w:ascii="Aptos" w:hAnsi="Aptos" w:cs="Arial"/>
                <w:sz w:val="20"/>
                <w:szCs w:val="20"/>
              </w:rPr>
              <w:t xml:space="preserve"> (Table 1)</w:t>
            </w:r>
            <w:r w:rsidR="0090002D">
              <w:rPr>
                <w:rFonts w:ascii="Aptos" w:hAnsi="Aptos" w:cs="Arial"/>
                <w:sz w:val="20"/>
                <w:szCs w:val="20"/>
              </w:rPr>
              <w:t xml:space="preserve">. </w:t>
            </w:r>
          </w:p>
          <w:p w14:paraId="20034392" w14:textId="77777777" w:rsidR="00871DD1" w:rsidRDefault="00871DD1" w:rsidP="004C7CCC">
            <w:pPr>
              <w:rPr>
                <w:rFonts w:ascii="Aptos" w:hAnsi="Aptos" w:cs="Arial"/>
                <w:sz w:val="20"/>
                <w:szCs w:val="20"/>
              </w:rPr>
            </w:pPr>
          </w:p>
          <w:p w14:paraId="404D8B91" w14:textId="1F4FA38B" w:rsidR="00A77B8E" w:rsidRDefault="00871DD1" w:rsidP="004C7CCC">
            <w:pPr>
              <w:rPr>
                <w:rFonts w:ascii="Aptos" w:hAnsi="Aptos" w:cs="Arial"/>
                <w:sz w:val="20"/>
                <w:szCs w:val="20"/>
              </w:rPr>
            </w:pPr>
            <w:r w:rsidRPr="00871DD1">
              <w:rPr>
                <w:rFonts w:ascii="Aptos" w:hAnsi="Aptos" w:cs="Arial"/>
                <w:i/>
                <w:iCs/>
                <w:sz w:val="20"/>
                <w:szCs w:val="20"/>
              </w:rPr>
              <w:t xml:space="preserve">Justification for </w:t>
            </w:r>
            <w:r>
              <w:rPr>
                <w:rFonts w:ascii="Aptos" w:hAnsi="Aptos" w:cs="Arial"/>
                <w:i/>
                <w:iCs/>
                <w:sz w:val="20"/>
                <w:szCs w:val="20"/>
              </w:rPr>
              <w:t>family</w:t>
            </w:r>
            <w:r>
              <w:rPr>
                <w:rFonts w:ascii="Aptos" w:hAnsi="Aptos" w:cs="Arial"/>
                <w:sz w:val="20"/>
                <w:szCs w:val="20"/>
              </w:rPr>
              <w:t xml:space="preserve">: </w:t>
            </w:r>
            <w:r w:rsidR="00E91A52">
              <w:rPr>
                <w:rFonts w:ascii="Aptos" w:hAnsi="Aptos" w:cs="Arial"/>
                <w:sz w:val="20"/>
                <w:szCs w:val="20"/>
              </w:rPr>
              <w:t>In w</w:t>
            </w:r>
            <w:r w:rsidRPr="00FE3828">
              <w:rPr>
                <w:rFonts w:ascii="Aptos" w:hAnsi="Aptos" w:cs="Arial"/>
                <w:sz w:val="20"/>
                <w:szCs w:val="20"/>
              </w:rPr>
              <w:t>hole-proteome-based phylogenomic analysis (</w:t>
            </w:r>
            <w:r>
              <w:rPr>
                <w:rFonts w:ascii="Aptos" w:hAnsi="Aptos" w:cs="Arial"/>
                <w:sz w:val="20"/>
                <w:szCs w:val="20"/>
              </w:rPr>
              <w:t>Fig. 4</w:t>
            </w:r>
            <w:r w:rsidRPr="00FE3828">
              <w:rPr>
                <w:rFonts w:ascii="Aptos" w:hAnsi="Aptos" w:cs="Arial"/>
                <w:sz w:val="20"/>
                <w:szCs w:val="20"/>
              </w:rPr>
              <w:t>)</w:t>
            </w:r>
            <w:r>
              <w:rPr>
                <w:rFonts w:ascii="Aptos" w:hAnsi="Aptos" w:cs="Arial"/>
                <w:sz w:val="20"/>
                <w:szCs w:val="20"/>
              </w:rPr>
              <w:t xml:space="preserve"> and m</w:t>
            </w:r>
            <w:r w:rsidRPr="00FE3828">
              <w:rPr>
                <w:rFonts w:ascii="Aptos" w:hAnsi="Aptos" w:cs="Arial"/>
                <w:sz w:val="20"/>
                <w:szCs w:val="20"/>
              </w:rPr>
              <w:t>aximum likelihood phylogenetic analysis of the VP4-like fusogens</w:t>
            </w:r>
            <w:r>
              <w:rPr>
                <w:rFonts w:ascii="Aptos" w:hAnsi="Aptos" w:cs="Arial"/>
                <w:sz w:val="20"/>
                <w:szCs w:val="20"/>
              </w:rPr>
              <w:t xml:space="preserve"> (Fig. 5)</w:t>
            </w:r>
            <w:r w:rsidR="00E91A52">
              <w:rPr>
                <w:rFonts w:ascii="Aptos" w:hAnsi="Aptos" w:cs="Arial"/>
                <w:sz w:val="20"/>
                <w:szCs w:val="20"/>
              </w:rPr>
              <w:t>,</w:t>
            </w:r>
            <w:r w:rsidRPr="00FE3828">
              <w:rPr>
                <w:rFonts w:ascii="Aptos" w:hAnsi="Aptos" w:cs="Arial"/>
                <w:sz w:val="20"/>
                <w:szCs w:val="20"/>
              </w:rPr>
              <w:t xml:space="preserve"> AvPV1-like viruses </w:t>
            </w:r>
            <w:r w:rsidR="00E91A52">
              <w:rPr>
                <w:rFonts w:ascii="Aptos" w:hAnsi="Aptos" w:cs="Arial"/>
                <w:sz w:val="20"/>
                <w:szCs w:val="20"/>
              </w:rPr>
              <w:t xml:space="preserve">formed a </w:t>
            </w:r>
            <w:r w:rsidR="00E91A52">
              <w:rPr>
                <w:rFonts w:ascii="Aptos" w:hAnsi="Aptos" w:cs="Arial"/>
                <w:sz w:val="20"/>
                <w:szCs w:val="20"/>
              </w:rPr>
              <w:lastRenderedPageBreak/>
              <w:t xml:space="preserve">monophyletic group </w:t>
            </w:r>
            <w:r w:rsidRPr="00FE3828">
              <w:rPr>
                <w:rFonts w:ascii="Aptos" w:hAnsi="Aptos" w:cs="Arial"/>
                <w:sz w:val="20"/>
                <w:szCs w:val="20"/>
              </w:rPr>
              <w:t xml:space="preserve">outside of the family </w:t>
            </w:r>
            <w:r w:rsidRPr="008D47FE">
              <w:rPr>
                <w:rFonts w:ascii="Aptos" w:hAnsi="Aptos" w:cs="Arial"/>
                <w:i/>
                <w:iCs/>
                <w:sz w:val="20"/>
                <w:szCs w:val="20"/>
              </w:rPr>
              <w:t>Pleolipoviridae</w:t>
            </w:r>
            <w:r>
              <w:rPr>
                <w:rFonts w:ascii="Aptos" w:hAnsi="Aptos" w:cs="Arial"/>
                <w:i/>
                <w:iCs/>
                <w:sz w:val="20"/>
                <w:szCs w:val="20"/>
              </w:rPr>
              <w:t xml:space="preserve"> </w:t>
            </w:r>
            <w:r w:rsidR="00E91A52">
              <w:rPr>
                <w:rFonts w:ascii="Aptos" w:hAnsi="Aptos" w:cs="Arial"/>
                <w:sz w:val="20"/>
                <w:szCs w:val="20"/>
              </w:rPr>
              <w:t>and separate from the two groups of related viruses associated with methanogenic archaea</w:t>
            </w:r>
            <w:r w:rsidRPr="00FE3828">
              <w:rPr>
                <w:rFonts w:ascii="Aptos" w:hAnsi="Aptos" w:cs="Arial"/>
                <w:sz w:val="20"/>
                <w:szCs w:val="20"/>
              </w:rPr>
              <w:t xml:space="preserve">. </w:t>
            </w:r>
            <w:r w:rsidR="00E91A52">
              <w:rPr>
                <w:rFonts w:ascii="Aptos" w:hAnsi="Aptos" w:cs="Arial"/>
                <w:sz w:val="20"/>
                <w:szCs w:val="20"/>
              </w:rPr>
              <w:t xml:space="preserve">Accordingly, a separate family should be created for the classification of </w:t>
            </w:r>
            <w:r w:rsidRPr="00FE3828">
              <w:rPr>
                <w:rFonts w:ascii="Aptos" w:hAnsi="Aptos" w:cs="Arial"/>
                <w:sz w:val="20"/>
                <w:szCs w:val="20"/>
              </w:rPr>
              <w:t>AvPV1</w:t>
            </w:r>
            <w:r>
              <w:rPr>
                <w:rFonts w:ascii="Aptos" w:hAnsi="Aptos" w:cs="Arial"/>
                <w:sz w:val="20"/>
                <w:szCs w:val="20"/>
              </w:rPr>
              <w:t>-like viruses</w:t>
            </w:r>
            <w:r w:rsidR="00E91A52">
              <w:rPr>
                <w:rFonts w:ascii="Aptos" w:hAnsi="Aptos" w:cs="Arial"/>
                <w:sz w:val="20"/>
                <w:szCs w:val="20"/>
              </w:rPr>
              <w:t>.</w:t>
            </w:r>
            <w:r>
              <w:rPr>
                <w:rFonts w:ascii="Aptos" w:hAnsi="Aptos" w:cs="Arial"/>
                <w:sz w:val="20"/>
                <w:szCs w:val="20"/>
              </w:rPr>
              <w:t xml:space="preserve"> </w:t>
            </w:r>
          </w:p>
          <w:p w14:paraId="6E9E643F" w14:textId="77777777" w:rsidR="00E91A52" w:rsidRDefault="00E91A52" w:rsidP="004C7CCC">
            <w:pPr>
              <w:rPr>
                <w:rFonts w:ascii="Aptos" w:hAnsi="Aptos" w:cs="Arial"/>
                <w:sz w:val="20"/>
                <w:szCs w:val="20"/>
              </w:rPr>
            </w:pPr>
          </w:p>
          <w:p w14:paraId="215383ED" w14:textId="471A3D42" w:rsidR="00E91A52" w:rsidRPr="00E91A52" w:rsidRDefault="00E91A52" w:rsidP="00E91A52">
            <w:pPr>
              <w:rPr>
                <w:rFonts w:ascii="Aptos" w:hAnsi="Aptos" w:cs="Arial"/>
                <w:sz w:val="20"/>
                <w:szCs w:val="20"/>
              </w:rPr>
            </w:pPr>
            <w:r w:rsidRPr="00871DD1">
              <w:rPr>
                <w:rFonts w:ascii="Aptos" w:hAnsi="Aptos" w:cs="Arial"/>
                <w:i/>
                <w:iCs/>
                <w:sz w:val="20"/>
                <w:szCs w:val="20"/>
              </w:rPr>
              <w:t xml:space="preserve">Justification for </w:t>
            </w:r>
            <w:r>
              <w:rPr>
                <w:rFonts w:ascii="Aptos" w:hAnsi="Aptos" w:cs="Arial"/>
                <w:i/>
                <w:iCs/>
                <w:sz w:val="20"/>
                <w:szCs w:val="20"/>
              </w:rPr>
              <w:t>higher level taxonomy</w:t>
            </w:r>
            <w:r>
              <w:rPr>
                <w:rFonts w:ascii="Aptos" w:hAnsi="Aptos" w:cs="Arial"/>
                <w:sz w:val="20"/>
                <w:szCs w:val="20"/>
              </w:rPr>
              <w:t xml:space="preserve">: </w:t>
            </w:r>
            <w:r w:rsidRPr="00FE3828">
              <w:rPr>
                <w:rFonts w:ascii="Aptos" w:hAnsi="Aptos" w:cs="Arial"/>
                <w:sz w:val="20"/>
                <w:szCs w:val="20"/>
              </w:rPr>
              <w:t xml:space="preserve">In the absence of an objective outgroup, we rooted the </w:t>
            </w:r>
            <w:r>
              <w:rPr>
                <w:rFonts w:ascii="Aptos" w:hAnsi="Aptos" w:cs="Arial"/>
                <w:sz w:val="20"/>
                <w:szCs w:val="20"/>
              </w:rPr>
              <w:t xml:space="preserve">phylogenetic </w:t>
            </w:r>
            <w:r w:rsidRPr="00FE3828">
              <w:rPr>
                <w:rFonts w:ascii="Aptos" w:hAnsi="Aptos" w:cs="Arial"/>
                <w:sz w:val="20"/>
                <w:szCs w:val="20"/>
              </w:rPr>
              <w:t>tree with VP4 from Methanomassiliicoccales, a group of archaea assigned to a different phylum (Thermoplasmatota) than the other three archaeal lineages, all in Halobacteriota. Archaeoglobi VP4 homologs were at the base of the clade including Halobacteria, Archaeoglobi, and Methanonatronarchaeia, with viruses of haloarchaea</w:t>
            </w:r>
            <w:r>
              <w:rPr>
                <w:rFonts w:ascii="Aptos" w:hAnsi="Aptos" w:cs="Arial"/>
                <w:sz w:val="20"/>
                <w:szCs w:val="20"/>
              </w:rPr>
              <w:t xml:space="preserve"> (family </w:t>
            </w:r>
            <w:r w:rsidRPr="00E91A52">
              <w:rPr>
                <w:rFonts w:ascii="Aptos" w:hAnsi="Aptos" w:cs="Arial"/>
                <w:i/>
                <w:iCs/>
                <w:sz w:val="20"/>
                <w:szCs w:val="20"/>
              </w:rPr>
              <w:t>Pleolipoviridae</w:t>
            </w:r>
            <w:r>
              <w:rPr>
                <w:rFonts w:ascii="Aptos" w:hAnsi="Aptos" w:cs="Arial"/>
                <w:sz w:val="20"/>
                <w:szCs w:val="20"/>
              </w:rPr>
              <w:t>)</w:t>
            </w:r>
            <w:r w:rsidRPr="00FE3828">
              <w:rPr>
                <w:rFonts w:ascii="Aptos" w:hAnsi="Aptos" w:cs="Arial"/>
                <w:sz w:val="20"/>
                <w:szCs w:val="20"/>
              </w:rPr>
              <w:t xml:space="preserve"> and </w:t>
            </w:r>
            <w:r>
              <w:rPr>
                <w:rFonts w:ascii="Aptos" w:hAnsi="Aptos" w:cs="Arial"/>
                <w:sz w:val="20"/>
                <w:szCs w:val="20"/>
              </w:rPr>
              <w:t xml:space="preserve">unclassified viruses of </w:t>
            </w:r>
            <w:r w:rsidRPr="00FE3828">
              <w:rPr>
                <w:rFonts w:ascii="Aptos" w:hAnsi="Aptos" w:cs="Arial"/>
                <w:sz w:val="20"/>
                <w:szCs w:val="20"/>
              </w:rPr>
              <w:t xml:space="preserve">Methanonatronarchaeia forming monophyletic sister groups (Fig. </w:t>
            </w:r>
            <w:r>
              <w:rPr>
                <w:rFonts w:ascii="Aptos" w:hAnsi="Aptos" w:cs="Arial"/>
                <w:sz w:val="20"/>
                <w:szCs w:val="20"/>
              </w:rPr>
              <w:t>5</w:t>
            </w:r>
            <w:r w:rsidRPr="00FE3828">
              <w:rPr>
                <w:rFonts w:ascii="Aptos" w:hAnsi="Aptos" w:cs="Arial"/>
                <w:sz w:val="20"/>
                <w:szCs w:val="20"/>
              </w:rPr>
              <w:t xml:space="preserve">). </w:t>
            </w:r>
            <w:r>
              <w:rPr>
                <w:rFonts w:ascii="Aptos" w:hAnsi="Aptos" w:cs="Arial"/>
                <w:sz w:val="20"/>
                <w:szCs w:val="20"/>
              </w:rPr>
              <w:t xml:space="preserve">A congruent grouping of </w:t>
            </w:r>
            <w:r w:rsidRPr="00E91A52">
              <w:rPr>
                <w:rFonts w:ascii="Aptos" w:hAnsi="Aptos" w:cs="Arial"/>
                <w:i/>
                <w:iCs/>
                <w:sz w:val="20"/>
                <w:szCs w:val="20"/>
              </w:rPr>
              <w:t>Pleolipoviridae</w:t>
            </w:r>
            <w:r>
              <w:rPr>
                <w:rFonts w:ascii="Aptos" w:hAnsi="Aptos" w:cs="Arial"/>
                <w:i/>
                <w:iCs/>
                <w:sz w:val="20"/>
                <w:szCs w:val="20"/>
              </w:rPr>
              <w:t xml:space="preserve"> </w:t>
            </w:r>
            <w:r w:rsidRPr="00E91A52">
              <w:rPr>
                <w:rFonts w:ascii="Aptos" w:hAnsi="Aptos" w:cs="Arial"/>
                <w:sz w:val="20"/>
                <w:szCs w:val="20"/>
              </w:rPr>
              <w:t>with</w:t>
            </w:r>
            <w:r>
              <w:rPr>
                <w:rFonts w:ascii="Aptos" w:hAnsi="Aptos" w:cs="Arial"/>
                <w:i/>
                <w:iCs/>
                <w:sz w:val="20"/>
                <w:szCs w:val="20"/>
              </w:rPr>
              <w:t xml:space="preserve"> </w:t>
            </w:r>
            <w:r>
              <w:rPr>
                <w:rFonts w:ascii="Aptos" w:hAnsi="Aptos" w:cs="Arial"/>
                <w:sz w:val="20"/>
                <w:szCs w:val="20"/>
              </w:rPr>
              <w:t xml:space="preserve">viruses of </w:t>
            </w:r>
            <w:r w:rsidRPr="00FE3828">
              <w:rPr>
                <w:rFonts w:ascii="Aptos" w:hAnsi="Aptos" w:cs="Arial"/>
                <w:sz w:val="20"/>
                <w:szCs w:val="20"/>
              </w:rPr>
              <w:t>Methanonatronarchaeia</w:t>
            </w:r>
            <w:r>
              <w:rPr>
                <w:rFonts w:ascii="Aptos" w:hAnsi="Aptos" w:cs="Arial"/>
                <w:sz w:val="20"/>
                <w:szCs w:val="20"/>
              </w:rPr>
              <w:t xml:space="preserve"> was obtained also in w</w:t>
            </w:r>
            <w:r w:rsidRPr="00FE3828">
              <w:rPr>
                <w:rFonts w:ascii="Aptos" w:hAnsi="Aptos" w:cs="Arial"/>
                <w:sz w:val="20"/>
                <w:szCs w:val="20"/>
              </w:rPr>
              <w:t>hole-proteome-based phylogenomic analysis</w:t>
            </w:r>
            <w:r>
              <w:rPr>
                <w:rFonts w:ascii="Aptos" w:hAnsi="Aptos" w:cs="Arial"/>
                <w:sz w:val="20"/>
                <w:szCs w:val="20"/>
              </w:rPr>
              <w:t xml:space="preserve"> (Fig. 4). Given the vast diversity of haloarchaeal pleolipoviruses, most of which are unclassified (see Fig. 5), it is expected that the family will be elevated to an order level </w:t>
            </w:r>
            <w:r w:rsidR="00E40959">
              <w:rPr>
                <w:rFonts w:ascii="Aptos" w:hAnsi="Aptos" w:cs="Arial"/>
                <w:sz w:val="20"/>
                <w:szCs w:val="20"/>
              </w:rPr>
              <w:t xml:space="preserve">in the near future, </w:t>
            </w:r>
            <w:r>
              <w:rPr>
                <w:rFonts w:ascii="Aptos" w:hAnsi="Aptos" w:cs="Arial"/>
                <w:sz w:val="20"/>
                <w:szCs w:val="20"/>
              </w:rPr>
              <w:t xml:space="preserve">and hence haloarchaeal and methanonatronarchaeal viruses would be grouped </w:t>
            </w:r>
            <w:r w:rsidR="00E40959">
              <w:rPr>
                <w:rFonts w:ascii="Aptos" w:hAnsi="Aptos" w:cs="Arial"/>
                <w:sz w:val="20"/>
                <w:szCs w:val="20"/>
              </w:rPr>
              <w:t xml:space="preserve">into a taxon </w:t>
            </w:r>
            <w:r>
              <w:rPr>
                <w:rFonts w:ascii="Aptos" w:hAnsi="Aptos" w:cs="Arial"/>
                <w:sz w:val="20"/>
                <w:szCs w:val="20"/>
              </w:rPr>
              <w:t xml:space="preserve">at the class level. Thus, we propose including the proposed family of AvPV1-like viruses, </w:t>
            </w:r>
            <w:r w:rsidRPr="00FE3828">
              <w:rPr>
                <w:rFonts w:ascii="Aptos" w:hAnsi="Aptos" w:cs="Arial"/>
                <w:sz w:val="20"/>
                <w:szCs w:val="20"/>
              </w:rPr>
              <w:t>“</w:t>
            </w:r>
            <w:r w:rsidRPr="00594BBC">
              <w:rPr>
                <w:rFonts w:ascii="Aptos" w:hAnsi="Aptos" w:cs="Arial"/>
                <w:sz w:val="20"/>
                <w:szCs w:val="20"/>
              </w:rPr>
              <w:t>Thalassapleoviridae</w:t>
            </w:r>
            <w:r w:rsidRPr="00FE3828">
              <w:rPr>
                <w:rFonts w:ascii="Aptos" w:hAnsi="Aptos" w:cs="Arial"/>
                <w:sz w:val="20"/>
                <w:szCs w:val="20"/>
              </w:rPr>
              <w:t>”</w:t>
            </w:r>
            <w:r>
              <w:rPr>
                <w:rFonts w:ascii="Aptos" w:hAnsi="Aptos" w:cs="Arial"/>
                <w:sz w:val="20"/>
                <w:szCs w:val="20"/>
              </w:rPr>
              <w:t xml:space="preserve">, into the kingdom </w:t>
            </w:r>
            <w:r w:rsidRPr="000115DC">
              <w:rPr>
                <w:rFonts w:ascii="Aptos" w:hAnsi="Aptos" w:cs="Arial"/>
                <w:bCs/>
                <w:i/>
                <w:iCs/>
                <w:sz w:val="20"/>
                <w:szCs w:val="20"/>
              </w:rPr>
              <w:t>Trapavirae</w:t>
            </w:r>
            <w:r>
              <w:rPr>
                <w:rFonts w:ascii="Aptos" w:hAnsi="Aptos" w:cs="Arial"/>
                <w:bCs/>
                <w:i/>
                <w:iCs/>
                <w:sz w:val="20"/>
                <w:szCs w:val="20"/>
              </w:rPr>
              <w:t xml:space="preserve"> </w:t>
            </w:r>
            <w:r>
              <w:rPr>
                <w:rFonts w:ascii="Aptos" w:hAnsi="Aptos" w:cs="Arial"/>
                <w:bCs/>
                <w:sz w:val="20"/>
                <w:szCs w:val="20"/>
              </w:rPr>
              <w:t>at the phylum level</w:t>
            </w:r>
            <w:r w:rsidR="00E40959">
              <w:rPr>
                <w:rFonts w:ascii="Aptos" w:hAnsi="Aptos" w:cs="Arial"/>
                <w:bCs/>
                <w:sz w:val="20"/>
                <w:szCs w:val="20"/>
              </w:rPr>
              <w:t>, which we propose naming “</w:t>
            </w:r>
            <w:r w:rsidR="00E40959" w:rsidRPr="00594BBC">
              <w:rPr>
                <w:rFonts w:ascii="Aptos" w:hAnsi="Aptos" w:cs="Arial"/>
                <w:bCs/>
                <w:sz w:val="20"/>
                <w:szCs w:val="20"/>
              </w:rPr>
              <w:t>Calorviricota</w:t>
            </w:r>
            <w:r w:rsidR="00E40959">
              <w:rPr>
                <w:rFonts w:ascii="Aptos" w:hAnsi="Aptos" w:cs="Arial"/>
                <w:bCs/>
                <w:sz w:val="20"/>
                <w:szCs w:val="20"/>
              </w:rPr>
              <w:t xml:space="preserve">”. The intermediate taxa, class and order, would be named </w:t>
            </w:r>
            <w:r w:rsidR="00E40959">
              <w:rPr>
                <w:rFonts w:ascii="Aptos" w:hAnsi="Aptos" w:cs="Arial"/>
                <w:sz w:val="20"/>
                <w:szCs w:val="20"/>
              </w:rPr>
              <w:t>“</w:t>
            </w:r>
            <w:r w:rsidR="00E40959" w:rsidRPr="00594BBC">
              <w:rPr>
                <w:rFonts w:ascii="Aptos" w:hAnsi="Aptos" w:cs="Arial"/>
                <w:sz w:val="20"/>
                <w:szCs w:val="20"/>
              </w:rPr>
              <w:t>Caminiviricetes</w:t>
            </w:r>
            <w:r w:rsidR="00E40959">
              <w:rPr>
                <w:rFonts w:ascii="Aptos" w:hAnsi="Aptos" w:cs="Arial"/>
                <w:sz w:val="20"/>
                <w:szCs w:val="20"/>
              </w:rPr>
              <w:t>” and “</w:t>
            </w:r>
            <w:r w:rsidR="00E40959" w:rsidRPr="00594BBC">
              <w:rPr>
                <w:rFonts w:ascii="Aptos" w:hAnsi="Aptos" w:cs="Arial"/>
                <w:sz w:val="20"/>
                <w:szCs w:val="20"/>
              </w:rPr>
              <w:t>Ageovirales</w:t>
            </w:r>
            <w:r w:rsidR="00E40959">
              <w:rPr>
                <w:rFonts w:ascii="Aptos" w:hAnsi="Aptos" w:cs="Arial"/>
                <w:sz w:val="20"/>
                <w:szCs w:val="20"/>
              </w:rPr>
              <w:t>”, respectively.</w:t>
            </w:r>
          </w:p>
          <w:p w14:paraId="2BD4E49F" w14:textId="77777777" w:rsidR="00E91A52" w:rsidRDefault="00E91A52" w:rsidP="004C7CCC">
            <w:pPr>
              <w:rPr>
                <w:rFonts w:ascii="Aptos" w:hAnsi="Aptos" w:cs="Arial"/>
                <w:sz w:val="20"/>
                <w:szCs w:val="20"/>
              </w:rPr>
            </w:pPr>
          </w:p>
          <w:p w14:paraId="0980DFE9" w14:textId="08416BC0" w:rsidR="00B42E86" w:rsidRDefault="00E40959" w:rsidP="00DD58AA">
            <w:pPr>
              <w:rPr>
                <w:rFonts w:ascii="Aptos" w:hAnsi="Aptos" w:cs="Arial"/>
                <w:sz w:val="20"/>
                <w:szCs w:val="20"/>
              </w:rPr>
            </w:pPr>
            <w:r w:rsidRPr="00E40959">
              <w:rPr>
                <w:rFonts w:ascii="Aptos" w:hAnsi="Aptos" w:cs="Arial"/>
                <w:i/>
                <w:iCs/>
                <w:sz w:val="20"/>
                <w:szCs w:val="20"/>
              </w:rPr>
              <w:t>Etymology</w:t>
            </w:r>
            <w:r>
              <w:rPr>
                <w:rFonts w:ascii="Aptos" w:hAnsi="Aptos" w:cs="Arial"/>
                <w:sz w:val="20"/>
                <w:szCs w:val="20"/>
              </w:rPr>
              <w:t>:</w:t>
            </w:r>
          </w:p>
          <w:p w14:paraId="79F0111D" w14:textId="5847C61B" w:rsidR="00A77B8E" w:rsidRPr="00287C4B" w:rsidRDefault="00287C4B" w:rsidP="00287C4B">
            <w:pPr>
              <w:pStyle w:val="ListParagraph"/>
              <w:numPr>
                <w:ilvl w:val="0"/>
                <w:numId w:val="5"/>
              </w:numPr>
              <w:rPr>
                <w:rFonts w:ascii="Aptos" w:hAnsi="Aptos" w:cs="Arial"/>
                <w:sz w:val="20"/>
                <w:szCs w:val="20"/>
              </w:rPr>
            </w:pPr>
            <w:r w:rsidRPr="000F531F">
              <w:rPr>
                <w:rFonts w:ascii="Aptos" w:hAnsi="Aptos" w:cs="Arial"/>
                <w:i/>
                <w:iCs/>
                <w:sz w:val="20"/>
                <w:szCs w:val="20"/>
              </w:rPr>
              <w:t>Calor</w:t>
            </w:r>
            <w:r w:rsidRPr="00287C4B">
              <w:rPr>
                <w:rFonts w:ascii="Aptos" w:hAnsi="Aptos" w:cs="Arial"/>
                <w:sz w:val="20"/>
                <w:szCs w:val="20"/>
              </w:rPr>
              <w:t xml:space="preserve">, heat in Latin, referring to the </w:t>
            </w:r>
            <w:r w:rsidR="006F6414">
              <w:rPr>
                <w:rFonts w:ascii="Aptos" w:hAnsi="Aptos" w:cs="Arial"/>
                <w:sz w:val="20"/>
                <w:szCs w:val="20"/>
              </w:rPr>
              <w:t>environmental conditions under which these viruses replicate.</w:t>
            </w:r>
          </w:p>
          <w:p w14:paraId="24C492F8" w14:textId="5487D37F" w:rsidR="00287C4B" w:rsidRDefault="00287C4B" w:rsidP="00287C4B">
            <w:pPr>
              <w:pStyle w:val="ListParagraph"/>
              <w:numPr>
                <w:ilvl w:val="0"/>
                <w:numId w:val="5"/>
              </w:numPr>
              <w:rPr>
                <w:rFonts w:ascii="Aptos" w:hAnsi="Aptos" w:cs="Arial"/>
                <w:sz w:val="20"/>
                <w:szCs w:val="20"/>
              </w:rPr>
            </w:pPr>
            <w:r w:rsidRPr="000F531F">
              <w:rPr>
                <w:rFonts w:ascii="Aptos" w:hAnsi="Aptos" w:cs="Arial"/>
                <w:i/>
                <w:iCs/>
                <w:sz w:val="20"/>
                <w:szCs w:val="20"/>
              </w:rPr>
              <w:t>Camini</w:t>
            </w:r>
            <w:r w:rsidRPr="00287C4B">
              <w:rPr>
                <w:rFonts w:ascii="Aptos" w:hAnsi="Aptos" w:cs="Arial"/>
                <w:sz w:val="20"/>
                <w:szCs w:val="20"/>
              </w:rPr>
              <w:t>, chimney in Latin, referring to the chimney-like deep sea hydrothermal vents in which Archaeoglobales and their viruses thrive</w:t>
            </w:r>
            <w:r w:rsidR="006F6414">
              <w:rPr>
                <w:rFonts w:ascii="Aptos" w:hAnsi="Aptos" w:cs="Arial"/>
                <w:sz w:val="20"/>
                <w:szCs w:val="20"/>
              </w:rPr>
              <w:t>.</w:t>
            </w:r>
            <w:r w:rsidRPr="00287C4B">
              <w:rPr>
                <w:rFonts w:ascii="Aptos" w:hAnsi="Aptos" w:cs="Arial"/>
                <w:sz w:val="20"/>
                <w:szCs w:val="20"/>
              </w:rPr>
              <w:t xml:space="preserve"> </w:t>
            </w:r>
          </w:p>
          <w:p w14:paraId="7EDD0998" w14:textId="79C9993B" w:rsidR="00287C4B" w:rsidRDefault="00287C4B" w:rsidP="00287C4B">
            <w:pPr>
              <w:pStyle w:val="ListParagraph"/>
              <w:numPr>
                <w:ilvl w:val="0"/>
                <w:numId w:val="5"/>
              </w:numPr>
              <w:rPr>
                <w:rFonts w:ascii="Aptos" w:hAnsi="Aptos" w:cs="Arial"/>
                <w:sz w:val="20"/>
                <w:szCs w:val="20"/>
              </w:rPr>
            </w:pPr>
            <w:r w:rsidRPr="000F531F">
              <w:rPr>
                <w:rFonts w:ascii="Aptos" w:hAnsi="Aptos" w:cs="Arial"/>
                <w:i/>
                <w:iCs/>
                <w:sz w:val="20"/>
                <w:szCs w:val="20"/>
              </w:rPr>
              <w:t>Ageo</w:t>
            </w:r>
            <w:r>
              <w:rPr>
                <w:rFonts w:ascii="Aptos" w:hAnsi="Aptos" w:cs="Arial"/>
                <w:sz w:val="20"/>
                <w:szCs w:val="20"/>
              </w:rPr>
              <w:t xml:space="preserve">, truncation of </w:t>
            </w:r>
            <w:r w:rsidRPr="00287C4B">
              <w:rPr>
                <w:rFonts w:ascii="Aptos" w:hAnsi="Aptos" w:cs="Arial"/>
                <w:i/>
                <w:iCs/>
                <w:sz w:val="20"/>
                <w:szCs w:val="20"/>
                <w:u w:val="single"/>
              </w:rPr>
              <w:t>A</w:t>
            </w:r>
            <w:r w:rsidRPr="00287C4B">
              <w:rPr>
                <w:rFonts w:ascii="Aptos" w:hAnsi="Aptos" w:cs="Arial"/>
                <w:i/>
                <w:iCs/>
                <w:sz w:val="20"/>
                <w:szCs w:val="20"/>
              </w:rPr>
              <w:t>rchaeoglobus</w:t>
            </w:r>
            <w:r>
              <w:rPr>
                <w:rFonts w:ascii="Aptos" w:hAnsi="Aptos" w:cs="Arial"/>
                <w:sz w:val="20"/>
                <w:szCs w:val="20"/>
              </w:rPr>
              <w:t xml:space="preserve"> and </w:t>
            </w:r>
            <w:r w:rsidRPr="00287C4B">
              <w:rPr>
                <w:rFonts w:ascii="Aptos" w:hAnsi="Aptos" w:cs="Arial"/>
                <w:i/>
                <w:iCs/>
                <w:sz w:val="20"/>
                <w:szCs w:val="20"/>
                <w:u w:val="single"/>
              </w:rPr>
              <w:t>Geo</w:t>
            </w:r>
            <w:r w:rsidRPr="00287C4B">
              <w:rPr>
                <w:rFonts w:ascii="Aptos" w:hAnsi="Aptos" w:cs="Arial"/>
                <w:i/>
                <w:iCs/>
                <w:sz w:val="20"/>
                <w:szCs w:val="20"/>
              </w:rPr>
              <w:t>globus</w:t>
            </w:r>
            <w:r>
              <w:rPr>
                <w:rFonts w:ascii="Aptos" w:hAnsi="Aptos" w:cs="Arial"/>
                <w:sz w:val="20"/>
                <w:szCs w:val="20"/>
              </w:rPr>
              <w:t>, two genera of archaea that host these viruses</w:t>
            </w:r>
            <w:r w:rsidR="006F6414">
              <w:rPr>
                <w:rFonts w:ascii="Aptos" w:hAnsi="Aptos" w:cs="Arial"/>
                <w:sz w:val="20"/>
                <w:szCs w:val="20"/>
              </w:rPr>
              <w:t>.</w:t>
            </w:r>
            <w:r>
              <w:rPr>
                <w:rFonts w:ascii="Aptos" w:hAnsi="Aptos" w:cs="Arial"/>
                <w:sz w:val="20"/>
                <w:szCs w:val="20"/>
              </w:rPr>
              <w:t xml:space="preserve"> </w:t>
            </w:r>
          </w:p>
          <w:p w14:paraId="2396CEF9" w14:textId="765B286D" w:rsidR="00E40959" w:rsidRPr="00E40959" w:rsidRDefault="00E40959" w:rsidP="00E40959">
            <w:pPr>
              <w:ind w:left="360"/>
              <w:rPr>
                <w:rFonts w:ascii="Aptos" w:hAnsi="Aptos" w:cs="Arial"/>
                <w:sz w:val="20"/>
                <w:szCs w:val="20"/>
              </w:rPr>
            </w:pPr>
            <w:r w:rsidRPr="00E40959">
              <w:rPr>
                <w:rFonts w:ascii="Aptos" w:hAnsi="Aptos" w:cs="Arial"/>
                <w:sz w:val="20"/>
                <w:szCs w:val="20"/>
              </w:rPr>
              <w:t>Species epithets</w:t>
            </w:r>
            <w:r>
              <w:rPr>
                <w:rFonts w:ascii="Aptos" w:hAnsi="Aptos" w:cs="Arial"/>
                <w:sz w:val="20"/>
                <w:szCs w:val="20"/>
              </w:rPr>
              <w:t>:</w:t>
            </w:r>
          </w:p>
          <w:p w14:paraId="7DB28EE2" w14:textId="070BDEE8" w:rsidR="00E40959" w:rsidRPr="00E40959" w:rsidRDefault="00E40959" w:rsidP="00E40959">
            <w:pPr>
              <w:pStyle w:val="ListParagraph"/>
              <w:numPr>
                <w:ilvl w:val="0"/>
                <w:numId w:val="5"/>
              </w:numPr>
              <w:rPr>
                <w:rFonts w:ascii="Aptos" w:hAnsi="Aptos" w:cs="Arial"/>
                <w:sz w:val="20"/>
                <w:szCs w:val="20"/>
              </w:rPr>
            </w:pPr>
            <w:r w:rsidRPr="00E40959">
              <w:rPr>
                <w:rFonts w:ascii="Aptos" w:hAnsi="Aptos" w:cs="Arial"/>
                <w:i/>
                <w:iCs/>
                <w:sz w:val="20"/>
                <w:szCs w:val="20"/>
              </w:rPr>
              <w:t>atlanticense</w:t>
            </w:r>
            <w:r>
              <w:rPr>
                <w:rFonts w:ascii="Aptos" w:hAnsi="Aptos" w:cs="Arial"/>
                <w:sz w:val="20"/>
                <w:szCs w:val="20"/>
              </w:rPr>
              <w:t xml:space="preserve">, after </w:t>
            </w:r>
            <w:r w:rsidRPr="00E40959">
              <w:rPr>
                <w:rFonts w:ascii="Aptos" w:hAnsi="Aptos" w:cs="Arial"/>
                <w:sz w:val="20"/>
                <w:szCs w:val="20"/>
              </w:rPr>
              <w:t>Atlantic Ocean</w:t>
            </w:r>
            <w:r>
              <w:rPr>
                <w:rFonts w:ascii="Aptos" w:hAnsi="Aptos" w:cs="Arial"/>
                <w:sz w:val="20"/>
                <w:szCs w:val="20"/>
              </w:rPr>
              <w:t>, source of origin.</w:t>
            </w:r>
          </w:p>
          <w:p w14:paraId="462079A0" w14:textId="7443AD67" w:rsidR="00E40959" w:rsidRPr="00E40959" w:rsidRDefault="00E40959" w:rsidP="00E40959">
            <w:pPr>
              <w:pStyle w:val="ListParagraph"/>
              <w:numPr>
                <w:ilvl w:val="0"/>
                <w:numId w:val="5"/>
              </w:numPr>
              <w:rPr>
                <w:rFonts w:ascii="Aptos" w:hAnsi="Aptos" w:cs="Arial"/>
                <w:sz w:val="20"/>
                <w:szCs w:val="20"/>
              </w:rPr>
            </w:pPr>
            <w:r w:rsidRPr="00E40959">
              <w:rPr>
                <w:rFonts w:ascii="Aptos" w:hAnsi="Aptos" w:cs="Arial"/>
                <w:i/>
                <w:iCs/>
                <w:sz w:val="20"/>
                <w:szCs w:val="20"/>
              </w:rPr>
              <w:t>guaymasense</w:t>
            </w:r>
            <w:r>
              <w:rPr>
                <w:rFonts w:ascii="Aptos" w:hAnsi="Aptos" w:cs="Arial"/>
                <w:sz w:val="20"/>
                <w:szCs w:val="20"/>
              </w:rPr>
              <w:t xml:space="preserve">, after </w:t>
            </w:r>
            <w:r w:rsidRPr="00E40959">
              <w:rPr>
                <w:rFonts w:ascii="Aptos" w:hAnsi="Aptos" w:cs="Arial"/>
                <w:sz w:val="20"/>
                <w:szCs w:val="20"/>
              </w:rPr>
              <w:t>Guaymas Basin</w:t>
            </w:r>
            <w:r>
              <w:rPr>
                <w:rFonts w:ascii="Aptos" w:hAnsi="Aptos" w:cs="Arial"/>
                <w:sz w:val="20"/>
                <w:szCs w:val="20"/>
              </w:rPr>
              <w:t>, source of origin.</w:t>
            </w:r>
          </w:p>
          <w:p w14:paraId="6439F55D" w14:textId="4FCB0D29" w:rsidR="00A77B8E" w:rsidRDefault="00E40959" w:rsidP="00E40959">
            <w:pPr>
              <w:pStyle w:val="ListParagraph"/>
              <w:numPr>
                <w:ilvl w:val="0"/>
                <w:numId w:val="5"/>
              </w:numPr>
              <w:rPr>
                <w:rFonts w:ascii="Aptos" w:hAnsi="Aptos" w:cs="Arial"/>
                <w:color w:val="0000FF"/>
                <w:sz w:val="20"/>
                <w:szCs w:val="20"/>
              </w:rPr>
            </w:pPr>
            <w:r w:rsidRPr="00E40959">
              <w:rPr>
                <w:rFonts w:ascii="Aptos" w:hAnsi="Aptos" w:cs="Arial"/>
                <w:i/>
                <w:iCs/>
                <w:sz w:val="20"/>
                <w:szCs w:val="20"/>
              </w:rPr>
              <w:t>pacificense</w:t>
            </w:r>
            <w:r w:rsidRPr="00E40959">
              <w:rPr>
                <w:rFonts w:ascii="Aptos" w:hAnsi="Aptos" w:cs="Arial"/>
                <w:sz w:val="20"/>
                <w:szCs w:val="20"/>
              </w:rPr>
              <w:t>, after Pacific Ocean, source of origin.</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7783169F" w14:textId="5D3CDEDD" w:rsidR="00DC23CE" w:rsidRPr="00DC23CE" w:rsidRDefault="00DC23CE" w:rsidP="00DC23CE">
            <w:pPr>
              <w:ind w:left="314" w:hanging="284"/>
              <w:rPr>
                <w:rFonts w:ascii="Aptos" w:hAnsi="Aptos" w:cs="Arial"/>
                <w:sz w:val="20"/>
                <w:szCs w:val="20"/>
              </w:rPr>
            </w:pPr>
          </w:p>
          <w:p w14:paraId="6D5B9872" w14:textId="7457E38D" w:rsidR="00E4549F" w:rsidRDefault="00E4549F" w:rsidP="00E4549F">
            <w:pPr>
              <w:ind w:left="314" w:hanging="284"/>
              <w:rPr>
                <w:rFonts w:ascii="Aptos" w:hAnsi="Aptos" w:cs="Arial"/>
                <w:sz w:val="20"/>
                <w:szCs w:val="20"/>
              </w:rPr>
            </w:pPr>
            <w:r w:rsidRPr="00E4549F">
              <w:rPr>
                <w:rFonts w:ascii="Aptos" w:hAnsi="Aptos" w:cs="Arial"/>
                <w:sz w:val="20"/>
                <w:szCs w:val="20"/>
              </w:rPr>
              <w:t>Baquero DP, Bignon EA, Krupovic M.</w:t>
            </w:r>
            <w:r>
              <w:rPr>
                <w:rFonts w:ascii="Aptos" w:hAnsi="Aptos" w:cs="Arial"/>
                <w:sz w:val="20"/>
                <w:szCs w:val="20"/>
              </w:rPr>
              <w:t xml:space="preserve"> </w:t>
            </w:r>
            <w:r w:rsidRPr="00E4549F">
              <w:rPr>
                <w:rFonts w:ascii="Aptos" w:hAnsi="Aptos" w:cs="Arial"/>
                <w:sz w:val="20"/>
                <w:szCs w:val="20"/>
              </w:rPr>
              <w:t>Pleomorphic viruses establish stable relationship with marine hyperthermophilic archaea.</w:t>
            </w:r>
            <w:r>
              <w:rPr>
                <w:rFonts w:ascii="Aptos" w:hAnsi="Aptos" w:cs="Arial"/>
                <w:sz w:val="20"/>
                <w:szCs w:val="20"/>
              </w:rPr>
              <w:t xml:space="preserve"> </w:t>
            </w:r>
            <w:r w:rsidRPr="00E4549F">
              <w:rPr>
                <w:rFonts w:ascii="Aptos" w:hAnsi="Aptos" w:cs="Arial"/>
                <w:sz w:val="20"/>
                <w:szCs w:val="20"/>
              </w:rPr>
              <w:t>ISME J. 2024;</w:t>
            </w:r>
            <w:r>
              <w:rPr>
                <w:rFonts w:ascii="Aptos" w:hAnsi="Aptos" w:cs="Arial"/>
                <w:sz w:val="20"/>
                <w:szCs w:val="20"/>
              </w:rPr>
              <w:t xml:space="preserve"> </w:t>
            </w:r>
            <w:r w:rsidRPr="00E4549F">
              <w:rPr>
                <w:rFonts w:ascii="Aptos" w:hAnsi="Aptos" w:cs="Arial"/>
                <w:sz w:val="20"/>
                <w:szCs w:val="20"/>
              </w:rPr>
              <w:t>18(1):wrae008. doi: 10.1093/ismejo/wrae008.</w:t>
            </w:r>
            <w:r>
              <w:rPr>
                <w:rFonts w:ascii="Aptos" w:hAnsi="Aptos" w:cs="Arial"/>
                <w:sz w:val="20"/>
                <w:szCs w:val="20"/>
              </w:rPr>
              <w:t xml:space="preserve"> </w:t>
            </w:r>
            <w:r w:rsidRPr="00E4549F">
              <w:rPr>
                <w:rFonts w:ascii="Aptos" w:hAnsi="Aptos" w:cs="Arial"/>
                <w:sz w:val="20"/>
                <w:szCs w:val="20"/>
              </w:rPr>
              <w:t>PMID: 38366050</w:t>
            </w:r>
          </w:p>
          <w:p w14:paraId="11D22677" w14:textId="0D3489B0" w:rsidR="00953FFE" w:rsidRDefault="00DC23CE" w:rsidP="00DC23CE">
            <w:pPr>
              <w:ind w:left="314" w:hanging="284"/>
              <w:rPr>
                <w:rFonts w:ascii="Aptos" w:hAnsi="Aptos" w:cs="Arial"/>
                <w:sz w:val="20"/>
                <w:szCs w:val="20"/>
              </w:rPr>
            </w:pPr>
            <w:r w:rsidRPr="00DC23CE">
              <w:rPr>
                <w:rFonts w:ascii="Aptos" w:hAnsi="Aptos" w:cs="Arial"/>
                <w:sz w:val="20"/>
                <w:szCs w:val="20"/>
              </w:rPr>
              <w:t>El Omari K, Li S, Kotecha A, Walter TS, Bignon EA, Harlos K, Somerharju P, De Haas F, Clare DK, Molin M, Hurtado F, Li M, Grimes JM, Bamford DH, Tischler ND, Huiskonen JT, Stuart DI, Roine E. The structure of a prokaryotic viral envelope protein expands the landscape of membrane fusion proteins.</w:t>
            </w:r>
            <w:r>
              <w:rPr>
                <w:rFonts w:ascii="Aptos" w:hAnsi="Aptos" w:cs="Arial"/>
                <w:sz w:val="20"/>
                <w:szCs w:val="20"/>
              </w:rPr>
              <w:t xml:space="preserve"> </w:t>
            </w:r>
            <w:r w:rsidRPr="00DC23CE">
              <w:rPr>
                <w:rFonts w:ascii="Aptos" w:hAnsi="Aptos" w:cs="Arial"/>
                <w:sz w:val="20"/>
                <w:szCs w:val="20"/>
              </w:rPr>
              <w:t>Nat Commun. 2019;</w:t>
            </w:r>
            <w:r w:rsidR="003A3EDE">
              <w:rPr>
                <w:rFonts w:ascii="Aptos" w:hAnsi="Aptos" w:cs="Arial"/>
                <w:sz w:val="20"/>
                <w:szCs w:val="20"/>
              </w:rPr>
              <w:t xml:space="preserve"> </w:t>
            </w:r>
            <w:r w:rsidRPr="00DC23CE">
              <w:rPr>
                <w:rFonts w:ascii="Aptos" w:hAnsi="Aptos" w:cs="Arial"/>
                <w:sz w:val="20"/>
                <w:szCs w:val="20"/>
              </w:rPr>
              <w:t>10(1):846. doi: 10.1038/s41467-019-08728-7.</w:t>
            </w:r>
            <w:r>
              <w:rPr>
                <w:rFonts w:ascii="Aptos" w:hAnsi="Aptos" w:cs="Arial"/>
                <w:sz w:val="20"/>
                <w:szCs w:val="20"/>
              </w:rPr>
              <w:t xml:space="preserve"> </w:t>
            </w:r>
            <w:r w:rsidRPr="00DC23CE">
              <w:rPr>
                <w:rFonts w:ascii="Aptos" w:hAnsi="Aptos" w:cs="Arial"/>
                <w:sz w:val="20"/>
                <w:szCs w:val="20"/>
              </w:rPr>
              <w:t>PMID: 30783086</w:t>
            </w:r>
          </w:p>
          <w:p w14:paraId="77DFB9C1" w14:textId="0D753727" w:rsidR="00FF00B2" w:rsidRPr="00BE4F5A" w:rsidRDefault="00FF00B2" w:rsidP="00FF00B2">
            <w:pPr>
              <w:ind w:left="314" w:hanging="284"/>
              <w:rPr>
                <w:rFonts w:ascii="Aptos" w:hAnsi="Aptos" w:cs="Arial"/>
                <w:sz w:val="20"/>
                <w:szCs w:val="20"/>
              </w:rPr>
            </w:pPr>
            <w:r w:rsidRPr="00FF00B2">
              <w:rPr>
                <w:rFonts w:ascii="Aptos" w:hAnsi="Aptos" w:cs="Arial"/>
                <w:sz w:val="20"/>
                <w:szCs w:val="20"/>
              </w:rPr>
              <w:t>Kalyaanamoorthy S, Minh BQ, Wong TKF, von Haeseler A, Jermiin LS. ModelFinder: fast model selection for accurate phylogenetic estimates.</w:t>
            </w:r>
            <w:r>
              <w:rPr>
                <w:rFonts w:ascii="Aptos" w:hAnsi="Aptos" w:cs="Arial"/>
                <w:sz w:val="20"/>
                <w:szCs w:val="20"/>
              </w:rPr>
              <w:t xml:space="preserve"> </w:t>
            </w:r>
            <w:r w:rsidRPr="00FF00B2">
              <w:rPr>
                <w:rFonts w:ascii="Aptos" w:hAnsi="Aptos" w:cs="Arial"/>
                <w:sz w:val="20"/>
                <w:szCs w:val="20"/>
              </w:rPr>
              <w:t>Nat Methods. 2017;</w:t>
            </w:r>
            <w:r>
              <w:rPr>
                <w:rFonts w:ascii="Aptos" w:hAnsi="Aptos" w:cs="Arial"/>
                <w:sz w:val="20"/>
                <w:szCs w:val="20"/>
              </w:rPr>
              <w:t xml:space="preserve"> </w:t>
            </w:r>
            <w:r w:rsidRPr="00FF00B2">
              <w:rPr>
                <w:rFonts w:ascii="Aptos" w:hAnsi="Aptos" w:cs="Arial"/>
                <w:sz w:val="20"/>
                <w:szCs w:val="20"/>
              </w:rPr>
              <w:t>14(6):587-589. doi: 10.1038/nmeth.4285. PMID: 28481363</w:t>
            </w:r>
          </w:p>
          <w:p w14:paraId="461A617F" w14:textId="30477C5A" w:rsidR="00953FFE" w:rsidRDefault="00DC23CE" w:rsidP="00DC23CE">
            <w:pPr>
              <w:ind w:left="314" w:hanging="284"/>
              <w:rPr>
                <w:rFonts w:ascii="Aptos" w:hAnsi="Aptos" w:cs="Arial"/>
                <w:sz w:val="20"/>
                <w:szCs w:val="20"/>
              </w:rPr>
            </w:pPr>
            <w:r w:rsidRPr="00DC23CE">
              <w:rPr>
                <w:rFonts w:ascii="Aptos" w:hAnsi="Aptos" w:cs="Arial"/>
                <w:sz w:val="20"/>
                <w:szCs w:val="20"/>
              </w:rPr>
              <w:t>Liu Y, Dyall-Smith M, Oksanen HM. ICTV Virus Taxonomy Profile: Pleolipoviridae 2022.</w:t>
            </w:r>
            <w:r>
              <w:rPr>
                <w:rFonts w:ascii="Aptos" w:hAnsi="Aptos" w:cs="Arial"/>
                <w:sz w:val="20"/>
                <w:szCs w:val="20"/>
              </w:rPr>
              <w:t xml:space="preserve"> </w:t>
            </w:r>
            <w:r w:rsidRPr="00DC23CE">
              <w:rPr>
                <w:rFonts w:ascii="Aptos" w:hAnsi="Aptos" w:cs="Arial"/>
                <w:sz w:val="20"/>
                <w:szCs w:val="20"/>
              </w:rPr>
              <w:t>J Gen Virol. 2022;</w:t>
            </w:r>
            <w:r w:rsidR="003A3EDE">
              <w:rPr>
                <w:rFonts w:ascii="Aptos" w:hAnsi="Aptos" w:cs="Arial"/>
                <w:sz w:val="20"/>
                <w:szCs w:val="20"/>
              </w:rPr>
              <w:t xml:space="preserve"> </w:t>
            </w:r>
            <w:r w:rsidRPr="00DC23CE">
              <w:rPr>
                <w:rFonts w:ascii="Aptos" w:hAnsi="Aptos" w:cs="Arial"/>
                <w:sz w:val="20"/>
                <w:szCs w:val="20"/>
              </w:rPr>
              <w:t>103(11)</w:t>
            </w:r>
            <w:r>
              <w:rPr>
                <w:rFonts w:ascii="Aptos" w:hAnsi="Aptos" w:cs="Arial"/>
                <w:sz w:val="20"/>
                <w:szCs w:val="20"/>
              </w:rPr>
              <w:t>:</w:t>
            </w:r>
            <w:r w:rsidRPr="00DC23CE">
              <w:rPr>
                <w:rFonts w:ascii="Aptos" w:hAnsi="Aptos" w:cs="Arial"/>
                <w:sz w:val="20"/>
                <w:szCs w:val="20"/>
              </w:rPr>
              <w:t>001793. doi: 10.1099/jgv.0.001793.</w:t>
            </w:r>
            <w:r>
              <w:rPr>
                <w:rFonts w:ascii="Aptos" w:hAnsi="Aptos" w:cs="Arial"/>
                <w:sz w:val="20"/>
                <w:szCs w:val="20"/>
              </w:rPr>
              <w:t xml:space="preserve"> </w:t>
            </w:r>
            <w:r w:rsidRPr="00DC23CE">
              <w:rPr>
                <w:rFonts w:ascii="Aptos" w:hAnsi="Aptos" w:cs="Arial"/>
                <w:sz w:val="20"/>
                <w:szCs w:val="20"/>
              </w:rPr>
              <w:t>PMID: 36374180</w:t>
            </w:r>
          </w:p>
          <w:p w14:paraId="1E3B33C8" w14:textId="40D72BEA" w:rsidR="00E4549F" w:rsidRDefault="00E4549F" w:rsidP="00E4549F">
            <w:pPr>
              <w:ind w:left="314" w:hanging="284"/>
              <w:rPr>
                <w:rFonts w:ascii="Aptos" w:hAnsi="Aptos" w:cs="Arial"/>
                <w:sz w:val="20"/>
                <w:szCs w:val="20"/>
              </w:rPr>
            </w:pPr>
            <w:r w:rsidRPr="00E4549F">
              <w:rPr>
                <w:rFonts w:ascii="Aptos" w:hAnsi="Aptos" w:cs="Arial"/>
                <w:sz w:val="20"/>
                <w:szCs w:val="20"/>
              </w:rPr>
              <w:t>Medvedeva S, Borrel G, Krupovic M, Gribaldo S.</w:t>
            </w:r>
            <w:r>
              <w:rPr>
                <w:rFonts w:ascii="Aptos" w:hAnsi="Aptos" w:cs="Arial"/>
                <w:sz w:val="20"/>
                <w:szCs w:val="20"/>
              </w:rPr>
              <w:t xml:space="preserve"> </w:t>
            </w:r>
            <w:r w:rsidRPr="00E4549F">
              <w:rPr>
                <w:rFonts w:ascii="Aptos" w:hAnsi="Aptos" w:cs="Arial"/>
                <w:sz w:val="20"/>
                <w:szCs w:val="20"/>
              </w:rPr>
              <w:t>A compendium of viruses from methanogenic archaea reveals their diversity and adaptations to the gut environment.</w:t>
            </w:r>
            <w:r>
              <w:rPr>
                <w:rFonts w:ascii="Aptos" w:hAnsi="Aptos" w:cs="Arial"/>
                <w:sz w:val="20"/>
                <w:szCs w:val="20"/>
              </w:rPr>
              <w:t xml:space="preserve"> </w:t>
            </w:r>
            <w:r w:rsidRPr="00E4549F">
              <w:rPr>
                <w:rFonts w:ascii="Aptos" w:hAnsi="Aptos" w:cs="Arial"/>
                <w:sz w:val="20"/>
                <w:szCs w:val="20"/>
              </w:rPr>
              <w:t>Nat Microbiol. 2023;</w:t>
            </w:r>
            <w:r>
              <w:rPr>
                <w:rFonts w:ascii="Aptos" w:hAnsi="Aptos" w:cs="Arial"/>
                <w:sz w:val="20"/>
                <w:szCs w:val="20"/>
              </w:rPr>
              <w:t xml:space="preserve"> </w:t>
            </w:r>
            <w:r w:rsidRPr="00E4549F">
              <w:rPr>
                <w:rFonts w:ascii="Aptos" w:hAnsi="Aptos" w:cs="Arial"/>
                <w:sz w:val="20"/>
                <w:szCs w:val="20"/>
              </w:rPr>
              <w:t>8(11):2170-2182. doi: 10.1038/s41564-023-01485-w. PMID: 37749252</w:t>
            </w:r>
          </w:p>
          <w:p w14:paraId="455E1B23" w14:textId="5052211C" w:rsidR="00813DE9" w:rsidRDefault="00813DE9" w:rsidP="00813DE9">
            <w:pPr>
              <w:ind w:left="314" w:hanging="284"/>
              <w:rPr>
                <w:rFonts w:ascii="Aptos" w:hAnsi="Aptos" w:cs="Arial"/>
                <w:sz w:val="20"/>
                <w:szCs w:val="20"/>
              </w:rPr>
            </w:pPr>
            <w:r w:rsidRPr="00813DE9">
              <w:rPr>
                <w:rFonts w:ascii="Aptos" w:hAnsi="Aptos" w:cs="Arial"/>
                <w:sz w:val="20"/>
                <w:szCs w:val="20"/>
              </w:rPr>
              <w:t>Meier-Kolthoff JP, Göker M. VICTOR: genome-based phylogeny and classification of prokaryotic viruses.</w:t>
            </w:r>
            <w:r>
              <w:rPr>
                <w:rFonts w:ascii="Aptos" w:hAnsi="Aptos" w:cs="Arial"/>
                <w:sz w:val="20"/>
                <w:szCs w:val="20"/>
              </w:rPr>
              <w:t xml:space="preserve"> </w:t>
            </w:r>
            <w:r w:rsidRPr="00813DE9">
              <w:rPr>
                <w:rFonts w:ascii="Aptos" w:hAnsi="Aptos" w:cs="Arial"/>
                <w:sz w:val="20"/>
                <w:szCs w:val="20"/>
              </w:rPr>
              <w:t>Bioinformatics. 2017;</w:t>
            </w:r>
            <w:r>
              <w:rPr>
                <w:rFonts w:ascii="Aptos" w:hAnsi="Aptos" w:cs="Arial"/>
                <w:sz w:val="20"/>
                <w:szCs w:val="20"/>
              </w:rPr>
              <w:t xml:space="preserve"> </w:t>
            </w:r>
            <w:r w:rsidRPr="00813DE9">
              <w:rPr>
                <w:rFonts w:ascii="Aptos" w:hAnsi="Aptos" w:cs="Arial"/>
                <w:sz w:val="20"/>
                <w:szCs w:val="20"/>
              </w:rPr>
              <w:t>33(21):3396-3404. doi: 10.1093/bioinformatics/btx440.</w:t>
            </w:r>
            <w:r>
              <w:rPr>
                <w:rFonts w:ascii="Aptos" w:hAnsi="Aptos" w:cs="Arial"/>
                <w:sz w:val="20"/>
                <w:szCs w:val="20"/>
              </w:rPr>
              <w:t xml:space="preserve"> </w:t>
            </w:r>
            <w:r w:rsidRPr="00813DE9">
              <w:rPr>
                <w:rFonts w:ascii="Aptos" w:hAnsi="Aptos" w:cs="Arial"/>
                <w:sz w:val="20"/>
                <w:szCs w:val="20"/>
              </w:rPr>
              <w:t>PMID: 29036289</w:t>
            </w:r>
          </w:p>
          <w:p w14:paraId="293F5FD3" w14:textId="5431AD8D" w:rsidR="0095071E" w:rsidRDefault="0095071E" w:rsidP="0095071E">
            <w:pPr>
              <w:ind w:left="314" w:hanging="284"/>
              <w:rPr>
                <w:rFonts w:ascii="Aptos" w:hAnsi="Aptos" w:cs="Arial"/>
                <w:sz w:val="20"/>
                <w:szCs w:val="20"/>
              </w:rPr>
            </w:pPr>
            <w:r w:rsidRPr="0095071E">
              <w:rPr>
                <w:rFonts w:ascii="Aptos" w:hAnsi="Aptos" w:cs="Arial"/>
                <w:sz w:val="20"/>
                <w:szCs w:val="20"/>
              </w:rPr>
              <w:t>Pietilä MK, Roine E, Paulin L, Kalkkinen N, Bamford DH.</w:t>
            </w:r>
            <w:r>
              <w:rPr>
                <w:rFonts w:ascii="Aptos" w:hAnsi="Aptos" w:cs="Arial"/>
                <w:sz w:val="20"/>
                <w:szCs w:val="20"/>
              </w:rPr>
              <w:t xml:space="preserve"> </w:t>
            </w:r>
            <w:r w:rsidRPr="0095071E">
              <w:rPr>
                <w:rFonts w:ascii="Aptos" w:hAnsi="Aptos" w:cs="Arial"/>
                <w:sz w:val="20"/>
                <w:szCs w:val="20"/>
              </w:rPr>
              <w:t>An ssDNA virus infecting archaea: a new lineage of viruses with a membrane envelope.</w:t>
            </w:r>
            <w:r>
              <w:rPr>
                <w:rFonts w:ascii="Aptos" w:hAnsi="Aptos" w:cs="Arial"/>
                <w:sz w:val="20"/>
                <w:szCs w:val="20"/>
              </w:rPr>
              <w:t xml:space="preserve"> </w:t>
            </w:r>
            <w:r w:rsidRPr="0095071E">
              <w:rPr>
                <w:rFonts w:ascii="Aptos" w:hAnsi="Aptos" w:cs="Arial"/>
                <w:sz w:val="20"/>
                <w:szCs w:val="20"/>
              </w:rPr>
              <w:t>Mol Microbiol. 2009 Apr;72(2):307-19. doi: 10.1111/j.1365-2958.2009.06642.x. PMID: 19298373</w:t>
            </w:r>
          </w:p>
          <w:p w14:paraId="73E945BD" w14:textId="1D9E187D" w:rsidR="00FF00B2" w:rsidRPr="00BE4F5A" w:rsidRDefault="00FF00B2" w:rsidP="00FF00B2">
            <w:pPr>
              <w:ind w:left="314" w:hanging="284"/>
              <w:rPr>
                <w:rFonts w:ascii="Aptos" w:hAnsi="Aptos" w:cs="Arial"/>
                <w:sz w:val="20"/>
                <w:szCs w:val="20"/>
              </w:rPr>
            </w:pPr>
            <w:r w:rsidRPr="005B2DDF">
              <w:rPr>
                <w:rFonts w:ascii="Aptos" w:hAnsi="Aptos" w:cs="Arial"/>
                <w:sz w:val="20"/>
                <w:szCs w:val="20"/>
              </w:rPr>
              <w:t xml:space="preserve">Trifinopoulos J, Nguyen LT, von Haeseler A, Minh BQ. </w:t>
            </w:r>
            <w:r w:rsidRPr="00FF00B2">
              <w:rPr>
                <w:rFonts w:ascii="Aptos" w:hAnsi="Aptos" w:cs="Arial"/>
                <w:sz w:val="20"/>
                <w:szCs w:val="20"/>
              </w:rPr>
              <w:t>W-IQ-TREE: a fast online phylogenetic tool for maximum likelihood analysis.</w:t>
            </w:r>
            <w:r>
              <w:rPr>
                <w:rFonts w:ascii="Aptos" w:hAnsi="Aptos" w:cs="Arial"/>
                <w:sz w:val="20"/>
                <w:szCs w:val="20"/>
              </w:rPr>
              <w:t xml:space="preserve"> </w:t>
            </w:r>
            <w:r w:rsidRPr="00FF00B2">
              <w:rPr>
                <w:rFonts w:ascii="Aptos" w:hAnsi="Aptos" w:cs="Arial"/>
                <w:sz w:val="20"/>
                <w:szCs w:val="20"/>
              </w:rPr>
              <w:t>Nucleic Acids Res. 2016;</w:t>
            </w:r>
            <w:r>
              <w:rPr>
                <w:rFonts w:ascii="Aptos" w:hAnsi="Aptos" w:cs="Arial"/>
                <w:sz w:val="20"/>
                <w:szCs w:val="20"/>
              </w:rPr>
              <w:t xml:space="preserve"> </w:t>
            </w:r>
            <w:r w:rsidRPr="00FF00B2">
              <w:rPr>
                <w:rFonts w:ascii="Aptos" w:hAnsi="Aptos" w:cs="Arial"/>
                <w:sz w:val="20"/>
                <w:szCs w:val="20"/>
              </w:rPr>
              <w:t>44:W232-5. doi:</w:t>
            </w:r>
            <w:r>
              <w:rPr>
                <w:rFonts w:ascii="Aptos" w:hAnsi="Aptos" w:cs="Arial"/>
                <w:sz w:val="20"/>
                <w:szCs w:val="20"/>
              </w:rPr>
              <w:t xml:space="preserve"> </w:t>
            </w:r>
            <w:r w:rsidRPr="00FF00B2">
              <w:rPr>
                <w:rFonts w:ascii="Aptos" w:hAnsi="Aptos" w:cs="Arial"/>
                <w:sz w:val="20"/>
                <w:szCs w:val="20"/>
              </w:rPr>
              <w:t>10.1093/nar/gkw256.</w:t>
            </w:r>
            <w:r>
              <w:rPr>
                <w:rFonts w:ascii="Aptos" w:hAnsi="Aptos" w:cs="Arial"/>
                <w:sz w:val="20"/>
                <w:szCs w:val="20"/>
              </w:rPr>
              <w:t xml:space="preserve"> </w:t>
            </w:r>
            <w:r w:rsidRPr="00FF00B2">
              <w:rPr>
                <w:rFonts w:ascii="Aptos" w:hAnsi="Aptos" w:cs="Arial"/>
                <w:sz w:val="20"/>
                <w:szCs w:val="20"/>
              </w:rPr>
              <w:t>PMID: 27084950</w:t>
            </w:r>
          </w:p>
          <w:p w14:paraId="7D1B1CCD" w14:textId="77777777" w:rsidR="00953FFE" w:rsidRPr="00BE4F5A" w:rsidRDefault="00953FFE" w:rsidP="00DC23CE">
            <w:pPr>
              <w:ind w:left="314" w:hanging="284"/>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D49993F"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lastRenderedPageBreak/>
              <w:t xml:space="preserve">Tables, Figures:  </w:t>
            </w:r>
          </w:p>
        </w:tc>
      </w:tr>
    </w:tbl>
    <w:p w14:paraId="273D32FE" w14:textId="2910CBBE" w:rsidR="00953FFE" w:rsidRDefault="00953FFE" w:rsidP="00DD58AA">
      <w:pPr>
        <w:rPr>
          <w:rFonts w:ascii="Aptos" w:hAnsi="Aptos" w:cs="Arial"/>
          <w:color w:val="808080" w:themeColor="background1" w:themeShade="80"/>
          <w:sz w:val="2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38F5BE1A" w14:textId="77777777" w:rsidR="007319F8" w:rsidRDefault="007319F8" w:rsidP="00DD58AA">
      <w:pPr>
        <w:rPr>
          <w:rFonts w:ascii="Aptos" w:hAnsi="Aptos" w:cs="Arial"/>
          <w:color w:val="808080" w:themeColor="background1" w:themeShade="80"/>
          <w:sz w:val="20"/>
        </w:rPr>
      </w:pPr>
    </w:p>
    <w:p w14:paraId="182145A7" w14:textId="31C4A408" w:rsidR="007319F8" w:rsidRPr="007319F8" w:rsidRDefault="007319F8" w:rsidP="00DD58AA">
      <w:pPr>
        <w:rPr>
          <w:rFonts w:ascii="Aptos" w:hAnsi="Aptos" w:cs="Arial"/>
          <w:sz w:val="20"/>
        </w:rPr>
      </w:pPr>
      <w:r w:rsidRPr="007319F8">
        <w:rPr>
          <w:rFonts w:ascii="Aptos" w:hAnsi="Aptos" w:cs="Arial"/>
          <w:sz w:val="20"/>
        </w:rPr>
        <w:t>Table 1.</w:t>
      </w:r>
      <w:r w:rsidR="00594BBC">
        <w:rPr>
          <w:rFonts w:ascii="Aptos" w:hAnsi="Aptos" w:cs="Arial"/>
          <w:sz w:val="20"/>
        </w:rPr>
        <w:t xml:space="preserve"> Properties of t</w:t>
      </w:r>
      <w:r w:rsidR="00594BBC" w:rsidRPr="00594BBC">
        <w:rPr>
          <w:rFonts w:ascii="Aptos" w:hAnsi="Aptos" w:cs="Arial"/>
          <w:sz w:val="20"/>
        </w:rPr>
        <w:t>halassapleovirid</w:t>
      </w:r>
      <w:r w:rsidR="00594BBC">
        <w:rPr>
          <w:rFonts w:ascii="Aptos" w:hAnsi="Aptos" w:cs="Arial"/>
          <w:sz w:val="20"/>
        </w:rPr>
        <w:t>s.</w:t>
      </w:r>
    </w:p>
    <w:tbl>
      <w:tblPr>
        <w:tblStyle w:val="TableGrid"/>
        <w:tblW w:w="0" w:type="auto"/>
        <w:tblLayout w:type="fixed"/>
        <w:tblLook w:val="04A0" w:firstRow="1" w:lastRow="0" w:firstColumn="1" w:lastColumn="0" w:noHBand="0" w:noVBand="1"/>
      </w:tblPr>
      <w:tblGrid>
        <w:gridCol w:w="1129"/>
        <w:gridCol w:w="36"/>
        <w:gridCol w:w="2008"/>
        <w:gridCol w:w="152"/>
        <w:gridCol w:w="1915"/>
        <w:gridCol w:w="152"/>
        <w:gridCol w:w="1123"/>
        <w:gridCol w:w="152"/>
        <w:gridCol w:w="841"/>
        <w:gridCol w:w="152"/>
        <w:gridCol w:w="1124"/>
        <w:gridCol w:w="152"/>
      </w:tblGrid>
      <w:tr w:rsidR="007319F8" w:rsidRPr="007319F8" w14:paraId="3E8394AF" w14:textId="77777777" w:rsidTr="006C63E3">
        <w:trPr>
          <w:gridAfter w:val="1"/>
          <w:wAfter w:w="152" w:type="dxa"/>
        </w:trPr>
        <w:tc>
          <w:tcPr>
            <w:tcW w:w="1129" w:type="dxa"/>
            <w:tcBorders>
              <w:left w:val="single" w:sz="4" w:space="0" w:color="FFFFFF" w:themeColor="background1"/>
              <w:right w:val="single" w:sz="4" w:space="0" w:color="FFFFFF" w:themeColor="background1"/>
            </w:tcBorders>
          </w:tcPr>
          <w:p w14:paraId="4C5B8830" w14:textId="77777777" w:rsidR="007319F8" w:rsidRPr="007319F8" w:rsidRDefault="007319F8" w:rsidP="002A6B87">
            <w:pPr>
              <w:rPr>
                <w:rFonts w:ascii="Aptos" w:hAnsi="Aptos" w:cs="Arial"/>
                <w:b/>
                <w:sz w:val="16"/>
                <w:szCs w:val="16"/>
              </w:rPr>
            </w:pPr>
            <w:r w:rsidRPr="007319F8">
              <w:rPr>
                <w:rFonts w:ascii="Aptos" w:hAnsi="Aptos" w:cs="Calibri"/>
                <w:b/>
                <w:bCs/>
                <w:color w:val="000000" w:themeColor="text1"/>
                <w:sz w:val="16"/>
                <w:szCs w:val="16"/>
              </w:rPr>
              <w:t>Genus</w:t>
            </w:r>
          </w:p>
        </w:tc>
        <w:tc>
          <w:tcPr>
            <w:tcW w:w="2044" w:type="dxa"/>
            <w:gridSpan w:val="2"/>
            <w:tcBorders>
              <w:left w:val="single" w:sz="4" w:space="0" w:color="FFFFFF" w:themeColor="background1"/>
              <w:right w:val="single" w:sz="4" w:space="0" w:color="FFFFFF" w:themeColor="background1"/>
            </w:tcBorders>
          </w:tcPr>
          <w:p w14:paraId="6E84876E" w14:textId="77777777" w:rsidR="007319F8" w:rsidRPr="007319F8" w:rsidRDefault="007319F8" w:rsidP="002A6B87">
            <w:pPr>
              <w:rPr>
                <w:rFonts w:ascii="Aptos" w:hAnsi="Aptos" w:cs="Arial"/>
                <w:b/>
                <w:sz w:val="16"/>
                <w:szCs w:val="16"/>
              </w:rPr>
            </w:pPr>
            <w:r w:rsidRPr="007319F8">
              <w:rPr>
                <w:rFonts w:ascii="Aptos" w:hAnsi="Aptos" w:cs="Calibri"/>
                <w:b/>
                <w:bCs/>
                <w:color w:val="000000" w:themeColor="text1"/>
                <w:sz w:val="16"/>
                <w:szCs w:val="16"/>
              </w:rPr>
              <w:t>Species</w:t>
            </w:r>
          </w:p>
        </w:tc>
        <w:tc>
          <w:tcPr>
            <w:tcW w:w="2067" w:type="dxa"/>
            <w:gridSpan w:val="2"/>
            <w:tcBorders>
              <w:left w:val="single" w:sz="4" w:space="0" w:color="FFFFFF" w:themeColor="background1"/>
              <w:right w:val="single" w:sz="4" w:space="0" w:color="FFFFFF" w:themeColor="background1"/>
            </w:tcBorders>
          </w:tcPr>
          <w:p w14:paraId="6D4C79AC" w14:textId="77777777" w:rsidR="007319F8" w:rsidRPr="007319F8" w:rsidRDefault="007319F8" w:rsidP="002A6B87">
            <w:pPr>
              <w:rPr>
                <w:rFonts w:ascii="Aptos" w:hAnsi="Aptos" w:cs="Arial"/>
                <w:b/>
                <w:sz w:val="16"/>
                <w:szCs w:val="16"/>
              </w:rPr>
            </w:pPr>
            <w:r w:rsidRPr="007319F8">
              <w:rPr>
                <w:rFonts w:ascii="Aptos" w:hAnsi="Aptos" w:cs="Calibri"/>
                <w:b/>
                <w:bCs/>
                <w:color w:val="000000" w:themeColor="text1"/>
                <w:sz w:val="16"/>
                <w:szCs w:val="16"/>
              </w:rPr>
              <w:t>Virus name</w:t>
            </w:r>
          </w:p>
        </w:tc>
        <w:tc>
          <w:tcPr>
            <w:tcW w:w="1275" w:type="dxa"/>
            <w:gridSpan w:val="2"/>
            <w:tcBorders>
              <w:left w:val="single" w:sz="4" w:space="0" w:color="FFFFFF" w:themeColor="background1"/>
              <w:right w:val="single" w:sz="4" w:space="0" w:color="FFFFFF" w:themeColor="background1"/>
            </w:tcBorders>
          </w:tcPr>
          <w:p w14:paraId="39D3B142" w14:textId="2E079805" w:rsidR="007319F8" w:rsidRPr="007319F8" w:rsidRDefault="007319F8" w:rsidP="006C63E3">
            <w:pPr>
              <w:ind w:right="29"/>
              <w:rPr>
                <w:rFonts w:ascii="Aptos" w:hAnsi="Aptos" w:cs="Calibri"/>
                <w:b/>
                <w:bCs/>
                <w:color w:val="000000" w:themeColor="text1"/>
                <w:sz w:val="16"/>
                <w:szCs w:val="16"/>
              </w:rPr>
            </w:pPr>
            <w:r>
              <w:rPr>
                <w:rFonts w:ascii="Aptos" w:hAnsi="Aptos" w:cs="Calibri"/>
                <w:b/>
                <w:bCs/>
                <w:color w:val="000000" w:themeColor="text1"/>
                <w:sz w:val="16"/>
                <w:szCs w:val="16"/>
              </w:rPr>
              <w:t>Virus name abbreviation</w:t>
            </w:r>
          </w:p>
        </w:tc>
        <w:tc>
          <w:tcPr>
            <w:tcW w:w="993" w:type="dxa"/>
            <w:gridSpan w:val="2"/>
            <w:tcBorders>
              <w:left w:val="single" w:sz="4" w:space="0" w:color="FFFFFF" w:themeColor="background1"/>
              <w:right w:val="single" w:sz="4" w:space="0" w:color="FFFFFF" w:themeColor="background1"/>
            </w:tcBorders>
          </w:tcPr>
          <w:p w14:paraId="29E4BF49" w14:textId="0AA011B3" w:rsidR="007319F8" w:rsidRPr="007319F8" w:rsidRDefault="007319F8" w:rsidP="002A6B87">
            <w:pPr>
              <w:rPr>
                <w:rFonts w:ascii="Aptos" w:hAnsi="Aptos" w:cs="Arial"/>
                <w:b/>
                <w:sz w:val="16"/>
                <w:szCs w:val="16"/>
              </w:rPr>
            </w:pPr>
            <w:r w:rsidRPr="007319F8">
              <w:rPr>
                <w:rFonts w:ascii="Aptos" w:hAnsi="Aptos" w:cs="Calibri"/>
                <w:b/>
                <w:bCs/>
                <w:color w:val="000000" w:themeColor="text1"/>
                <w:sz w:val="16"/>
                <w:szCs w:val="16"/>
              </w:rPr>
              <w:t>Genome length (bp)</w:t>
            </w:r>
          </w:p>
        </w:tc>
        <w:tc>
          <w:tcPr>
            <w:tcW w:w="1276" w:type="dxa"/>
            <w:gridSpan w:val="2"/>
            <w:tcBorders>
              <w:left w:val="single" w:sz="4" w:space="0" w:color="FFFFFF" w:themeColor="background1"/>
              <w:right w:val="single" w:sz="4" w:space="0" w:color="FFFFFF" w:themeColor="background1"/>
            </w:tcBorders>
          </w:tcPr>
          <w:p w14:paraId="478B1A7A" w14:textId="77777777" w:rsidR="007319F8" w:rsidRPr="007319F8" w:rsidRDefault="007319F8" w:rsidP="002A6B87">
            <w:pPr>
              <w:rPr>
                <w:rFonts w:ascii="Aptos" w:hAnsi="Aptos" w:cs="Arial"/>
                <w:b/>
                <w:sz w:val="16"/>
                <w:szCs w:val="16"/>
              </w:rPr>
            </w:pPr>
            <w:r w:rsidRPr="007319F8">
              <w:rPr>
                <w:rFonts w:ascii="Aptos" w:hAnsi="Aptos" w:cs="Calibri"/>
                <w:b/>
                <w:bCs/>
                <w:color w:val="000000" w:themeColor="text1"/>
                <w:sz w:val="16"/>
                <w:szCs w:val="16"/>
              </w:rPr>
              <w:t>Accession number</w:t>
            </w:r>
          </w:p>
        </w:tc>
      </w:tr>
      <w:tr w:rsidR="007319F8" w:rsidRPr="007319F8" w14:paraId="39F4707A" w14:textId="77777777" w:rsidTr="00594BBC">
        <w:tc>
          <w:tcPr>
            <w:tcW w:w="1165" w:type="dxa"/>
            <w:gridSpan w:val="2"/>
            <w:tcBorders>
              <w:left w:val="single" w:sz="4" w:space="0" w:color="FFFFFF" w:themeColor="background1"/>
              <w:right w:val="single" w:sz="4" w:space="0" w:color="FFFFFF" w:themeColor="background1"/>
            </w:tcBorders>
          </w:tcPr>
          <w:p w14:paraId="6B0A0B4C" w14:textId="6E28C850" w:rsidR="007319F8" w:rsidRPr="00594BBC" w:rsidRDefault="00594BBC" w:rsidP="007319F8">
            <w:pPr>
              <w:rPr>
                <w:rFonts w:ascii="Aptos" w:hAnsi="Aptos" w:cs="Calibri"/>
                <w:color w:val="000000" w:themeColor="text1"/>
                <w:sz w:val="16"/>
                <w:szCs w:val="16"/>
              </w:rPr>
            </w:pPr>
            <w:r w:rsidRPr="00594BBC">
              <w:rPr>
                <w:rFonts w:ascii="Aptos" w:hAnsi="Aptos"/>
                <w:sz w:val="16"/>
                <w:szCs w:val="16"/>
              </w:rPr>
              <w:t>“</w:t>
            </w:r>
            <w:r w:rsidR="007319F8" w:rsidRPr="00594BBC">
              <w:rPr>
                <w:rFonts w:ascii="Aptos" w:hAnsi="Aptos"/>
                <w:sz w:val="16"/>
                <w:szCs w:val="16"/>
              </w:rPr>
              <w:t>Avenivirus</w:t>
            </w:r>
            <w:r w:rsidRPr="00594BBC">
              <w:rPr>
                <w:rFonts w:ascii="Aptos" w:hAnsi="Aptos"/>
                <w:sz w:val="16"/>
                <w:szCs w:val="16"/>
              </w:rPr>
              <w:t>”</w:t>
            </w:r>
          </w:p>
        </w:tc>
        <w:tc>
          <w:tcPr>
            <w:tcW w:w="2160" w:type="dxa"/>
            <w:gridSpan w:val="2"/>
            <w:tcBorders>
              <w:left w:val="single" w:sz="4" w:space="0" w:color="FFFFFF" w:themeColor="background1"/>
              <w:right w:val="single" w:sz="4" w:space="0" w:color="FFFFFF" w:themeColor="background1"/>
            </w:tcBorders>
          </w:tcPr>
          <w:p w14:paraId="7B6059D1" w14:textId="13C4DE49" w:rsidR="007319F8" w:rsidRPr="00594BBC" w:rsidRDefault="00594BBC" w:rsidP="007319F8">
            <w:pPr>
              <w:rPr>
                <w:rFonts w:ascii="Aptos" w:hAnsi="Aptos" w:cs="Calibri"/>
                <w:color w:val="000000" w:themeColor="text1"/>
                <w:sz w:val="16"/>
                <w:szCs w:val="16"/>
              </w:rPr>
            </w:pPr>
            <w:r w:rsidRPr="00594BBC">
              <w:rPr>
                <w:rFonts w:ascii="Aptos" w:hAnsi="Aptos"/>
                <w:sz w:val="16"/>
                <w:szCs w:val="16"/>
              </w:rPr>
              <w:t>“</w:t>
            </w:r>
            <w:r w:rsidR="007319F8" w:rsidRPr="00594BBC">
              <w:rPr>
                <w:rFonts w:ascii="Aptos" w:hAnsi="Aptos"/>
                <w:sz w:val="16"/>
                <w:szCs w:val="16"/>
              </w:rPr>
              <w:t>Avenivirus atlanticense</w:t>
            </w:r>
            <w:r w:rsidRPr="00594BBC">
              <w:rPr>
                <w:rFonts w:ascii="Aptos" w:hAnsi="Aptos"/>
                <w:sz w:val="16"/>
                <w:szCs w:val="16"/>
              </w:rPr>
              <w:t>”</w:t>
            </w:r>
          </w:p>
        </w:tc>
        <w:tc>
          <w:tcPr>
            <w:tcW w:w="2067" w:type="dxa"/>
            <w:gridSpan w:val="2"/>
            <w:tcBorders>
              <w:left w:val="single" w:sz="4" w:space="0" w:color="FFFFFF" w:themeColor="background1"/>
              <w:right w:val="single" w:sz="4" w:space="0" w:color="FFFFFF" w:themeColor="background1"/>
            </w:tcBorders>
          </w:tcPr>
          <w:p w14:paraId="3A62A6D4" w14:textId="0742D0B0"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Archaeoglobus veneficus pleomorphic virus 1</w:t>
            </w:r>
          </w:p>
        </w:tc>
        <w:tc>
          <w:tcPr>
            <w:tcW w:w="1275" w:type="dxa"/>
            <w:gridSpan w:val="2"/>
            <w:tcBorders>
              <w:left w:val="single" w:sz="4" w:space="0" w:color="FFFFFF" w:themeColor="background1"/>
              <w:right w:val="single" w:sz="4" w:space="0" w:color="FFFFFF" w:themeColor="background1"/>
            </w:tcBorders>
          </w:tcPr>
          <w:p w14:paraId="0E915171" w14:textId="1D465B0A"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AvPV1</w:t>
            </w:r>
          </w:p>
        </w:tc>
        <w:tc>
          <w:tcPr>
            <w:tcW w:w="993" w:type="dxa"/>
            <w:gridSpan w:val="2"/>
            <w:tcBorders>
              <w:left w:val="single" w:sz="4" w:space="0" w:color="FFFFFF" w:themeColor="background1"/>
              <w:right w:val="single" w:sz="4" w:space="0" w:color="FFFFFF" w:themeColor="background1"/>
            </w:tcBorders>
          </w:tcPr>
          <w:p w14:paraId="75A6EF40" w14:textId="1E49BB78" w:rsidR="007319F8" w:rsidRPr="007319F8" w:rsidRDefault="00594BBC" w:rsidP="007319F8">
            <w:pPr>
              <w:rPr>
                <w:rFonts w:ascii="Aptos" w:hAnsi="Aptos" w:cs="Calibri"/>
                <w:iCs/>
                <w:color w:val="000000" w:themeColor="text1"/>
                <w:sz w:val="16"/>
                <w:szCs w:val="16"/>
              </w:rPr>
            </w:pPr>
            <w:r w:rsidRPr="00594BBC">
              <w:rPr>
                <w:rFonts w:ascii="Aptos" w:hAnsi="Aptos" w:cs="Calibri"/>
                <w:iCs/>
                <w:color w:val="000000" w:themeColor="text1"/>
                <w:sz w:val="16"/>
                <w:szCs w:val="16"/>
              </w:rPr>
              <w:t>17950</w:t>
            </w:r>
          </w:p>
        </w:tc>
        <w:tc>
          <w:tcPr>
            <w:tcW w:w="1276" w:type="dxa"/>
            <w:gridSpan w:val="2"/>
            <w:tcBorders>
              <w:left w:val="single" w:sz="4" w:space="0" w:color="FFFFFF" w:themeColor="background1"/>
              <w:right w:val="single" w:sz="4" w:space="0" w:color="FFFFFF" w:themeColor="background1"/>
            </w:tcBorders>
          </w:tcPr>
          <w:p w14:paraId="20355B18" w14:textId="7AC7439C"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BK065155</w:t>
            </w:r>
          </w:p>
        </w:tc>
      </w:tr>
      <w:tr w:rsidR="007319F8" w:rsidRPr="007319F8" w14:paraId="6A24C409" w14:textId="77777777" w:rsidTr="00594BBC">
        <w:tc>
          <w:tcPr>
            <w:tcW w:w="1165" w:type="dxa"/>
            <w:gridSpan w:val="2"/>
            <w:tcBorders>
              <w:left w:val="single" w:sz="4" w:space="0" w:color="FFFFFF" w:themeColor="background1"/>
              <w:right w:val="single" w:sz="4" w:space="0" w:color="FFFFFF" w:themeColor="background1"/>
            </w:tcBorders>
          </w:tcPr>
          <w:p w14:paraId="186F8A15" w14:textId="4BF93409" w:rsidR="007319F8" w:rsidRPr="00594BBC" w:rsidRDefault="00594BBC" w:rsidP="007319F8">
            <w:pPr>
              <w:rPr>
                <w:rFonts w:ascii="Aptos" w:hAnsi="Aptos" w:cs="Calibri"/>
                <w:color w:val="000000" w:themeColor="text1"/>
                <w:sz w:val="16"/>
                <w:szCs w:val="16"/>
              </w:rPr>
            </w:pPr>
            <w:r w:rsidRPr="00594BBC">
              <w:rPr>
                <w:rFonts w:ascii="Aptos" w:hAnsi="Aptos"/>
                <w:sz w:val="16"/>
                <w:szCs w:val="16"/>
              </w:rPr>
              <w:t>“</w:t>
            </w:r>
            <w:r w:rsidR="007319F8" w:rsidRPr="00594BBC">
              <w:rPr>
                <w:rFonts w:ascii="Aptos" w:hAnsi="Aptos"/>
                <w:sz w:val="16"/>
                <w:szCs w:val="16"/>
              </w:rPr>
              <w:t>Aprofuvirus</w:t>
            </w:r>
            <w:r w:rsidRPr="00594BBC">
              <w:rPr>
                <w:rFonts w:ascii="Aptos" w:hAnsi="Aptos"/>
                <w:sz w:val="16"/>
                <w:szCs w:val="16"/>
              </w:rPr>
              <w:t>”</w:t>
            </w:r>
          </w:p>
        </w:tc>
        <w:tc>
          <w:tcPr>
            <w:tcW w:w="2160" w:type="dxa"/>
            <w:gridSpan w:val="2"/>
            <w:tcBorders>
              <w:left w:val="single" w:sz="4" w:space="0" w:color="FFFFFF" w:themeColor="background1"/>
              <w:right w:val="single" w:sz="4" w:space="0" w:color="FFFFFF" w:themeColor="background1"/>
            </w:tcBorders>
          </w:tcPr>
          <w:p w14:paraId="0A110D3E" w14:textId="1036172A" w:rsidR="007319F8" w:rsidRPr="00594BBC" w:rsidRDefault="00594BBC" w:rsidP="007319F8">
            <w:pPr>
              <w:rPr>
                <w:rFonts w:ascii="Aptos" w:hAnsi="Aptos" w:cs="Calibri"/>
                <w:color w:val="000000" w:themeColor="text1"/>
                <w:sz w:val="16"/>
                <w:szCs w:val="16"/>
              </w:rPr>
            </w:pPr>
            <w:r w:rsidRPr="00594BBC">
              <w:rPr>
                <w:rFonts w:ascii="Aptos" w:hAnsi="Aptos"/>
                <w:sz w:val="16"/>
                <w:szCs w:val="16"/>
              </w:rPr>
              <w:t>“</w:t>
            </w:r>
            <w:r w:rsidR="007319F8" w:rsidRPr="00594BBC">
              <w:rPr>
                <w:rFonts w:ascii="Aptos" w:hAnsi="Aptos"/>
                <w:sz w:val="16"/>
                <w:szCs w:val="16"/>
              </w:rPr>
              <w:t>Aprofuvirus guaymasense</w:t>
            </w:r>
            <w:r w:rsidRPr="00594BBC">
              <w:rPr>
                <w:rFonts w:ascii="Aptos" w:hAnsi="Aptos"/>
                <w:sz w:val="16"/>
                <w:szCs w:val="16"/>
              </w:rPr>
              <w:t>”</w:t>
            </w:r>
          </w:p>
        </w:tc>
        <w:tc>
          <w:tcPr>
            <w:tcW w:w="2067" w:type="dxa"/>
            <w:gridSpan w:val="2"/>
            <w:tcBorders>
              <w:left w:val="single" w:sz="4" w:space="0" w:color="FFFFFF" w:themeColor="background1"/>
              <w:right w:val="single" w:sz="4" w:space="0" w:color="FFFFFF" w:themeColor="background1"/>
            </w:tcBorders>
          </w:tcPr>
          <w:p w14:paraId="4B35AD2F" w14:textId="7EA40E77"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Archaeoglobus profundus pleomorphic virus 1</w:t>
            </w:r>
          </w:p>
        </w:tc>
        <w:tc>
          <w:tcPr>
            <w:tcW w:w="1275" w:type="dxa"/>
            <w:gridSpan w:val="2"/>
            <w:tcBorders>
              <w:left w:val="single" w:sz="4" w:space="0" w:color="FFFFFF" w:themeColor="background1"/>
              <w:right w:val="single" w:sz="4" w:space="0" w:color="FFFFFF" w:themeColor="background1"/>
            </w:tcBorders>
          </w:tcPr>
          <w:p w14:paraId="052984F3" w14:textId="2F1F5717"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ApPV1</w:t>
            </w:r>
          </w:p>
        </w:tc>
        <w:tc>
          <w:tcPr>
            <w:tcW w:w="993" w:type="dxa"/>
            <w:gridSpan w:val="2"/>
            <w:tcBorders>
              <w:left w:val="single" w:sz="4" w:space="0" w:color="FFFFFF" w:themeColor="background1"/>
              <w:right w:val="single" w:sz="4" w:space="0" w:color="FFFFFF" w:themeColor="background1"/>
            </w:tcBorders>
          </w:tcPr>
          <w:p w14:paraId="6541BD9D" w14:textId="22B7ACF8" w:rsidR="007319F8" w:rsidRPr="007319F8" w:rsidRDefault="00594BBC" w:rsidP="007319F8">
            <w:pPr>
              <w:rPr>
                <w:rFonts w:ascii="Aptos" w:hAnsi="Aptos" w:cs="Calibri"/>
                <w:iCs/>
                <w:color w:val="000000" w:themeColor="text1"/>
                <w:sz w:val="16"/>
                <w:szCs w:val="16"/>
              </w:rPr>
            </w:pPr>
            <w:r w:rsidRPr="00594BBC">
              <w:rPr>
                <w:rFonts w:ascii="Aptos" w:hAnsi="Aptos" w:cs="Calibri"/>
                <w:iCs/>
                <w:color w:val="000000" w:themeColor="text1"/>
                <w:sz w:val="16"/>
                <w:szCs w:val="16"/>
              </w:rPr>
              <w:t>14699</w:t>
            </w:r>
          </w:p>
        </w:tc>
        <w:tc>
          <w:tcPr>
            <w:tcW w:w="1276" w:type="dxa"/>
            <w:gridSpan w:val="2"/>
            <w:tcBorders>
              <w:left w:val="single" w:sz="4" w:space="0" w:color="FFFFFF" w:themeColor="background1"/>
              <w:right w:val="single" w:sz="4" w:space="0" w:color="FFFFFF" w:themeColor="background1"/>
            </w:tcBorders>
          </w:tcPr>
          <w:p w14:paraId="26140C33" w14:textId="5F395685"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BK065154</w:t>
            </w:r>
          </w:p>
        </w:tc>
      </w:tr>
      <w:tr w:rsidR="007319F8" w:rsidRPr="007319F8" w14:paraId="4B19CE08" w14:textId="77777777" w:rsidTr="00594BBC">
        <w:tc>
          <w:tcPr>
            <w:tcW w:w="1165" w:type="dxa"/>
            <w:gridSpan w:val="2"/>
            <w:tcBorders>
              <w:left w:val="single" w:sz="4" w:space="0" w:color="FFFFFF" w:themeColor="background1"/>
              <w:right w:val="single" w:sz="4" w:space="0" w:color="FFFFFF" w:themeColor="background1"/>
            </w:tcBorders>
          </w:tcPr>
          <w:p w14:paraId="46262343" w14:textId="4D0780BB" w:rsidR="007319F8" w:rsidRPr="00594BBC" w:rsidRDefault="00594BBC" w:rsidP="007319F8">
            <w:pPr>
              <w:rPr>
                <w:rFonts w:ascii="Aptos" w:hAnsi="Aptos" w:cs="Calibri"/>
                <w:color w:val="000000" w:themeColor="text1"/>
                <w:sz w:val="16"/>
                <w:szCs w:val="16"/>
              </w:rPr>
            </w:pPr>
            <w:r w:rsidRPr="00594BBC">
              <w:rPr>
                <w:rFonts w:ascii="Aptos" w:hAnsi="Aptos"/>
                <w:sz w:val="16"/>
                <w:szCs w:val="16"/>
              </w:rPr>
              <w:t>“</w:t>
            </w:r>
            <w:r w:rsidR="007319F8" w:rsidRPr="00594BBC">
              <w:rPr>
                <w:rFonts w:ascii="Aptos" w:hAnsi="Aptos"/>
                <w:sz w:val="16"/>
                <w:szCs w:val="16"/>
              </w:rPr>
              <w:t>Geogavirus</w:t>
            </w:r>
            <w:r w:rsidRPr="00594BBC">
              <w:rPr>
                <w:rFonts w:ascii="Aptos" w:hAnsi="Aptos"/>
                <w:sz w:val="16"/>
                <w:szCs w:val="16"/>
              </w:rPr>
              <w:t>”</w:t>
            </w:r>
          </w:p>
        </w:tc>
        <w:tc>
          <w:tcPr>
            <w:tcW w:w="2160" w:type="dxa"/>
            <w:gridSpan w:val="2"/>
            <w:tcBorders>
              <w:left w:val="single" w:sz="4" w:space="0" w:color="FFFFFF" w:themeColor="background1"/>
              <w:right w:val="single" w:sz="4" w:space="0" w:color="FFFFFF" w:themeColor="background1"/>
            </w:tcBorders>
          </w:tcPr>
          <w:p w14:paraId="40239303" w14:textId="7177AF86" w:rsidR="007319F8" w:rsidRPr="00594BBC" w:rsidRDefault="00594BBC" w:rsidP="007319F8">
            <w:pPr>
              <w:rPr>
                <w:rFonts w:ascii="Aptos" w:hAnsi="Aptos" w:cs="Calibri"/>
                <w:color w:val="000000" w:themeColor="text1"/>
                <w:sz w:val="16"/>
                <w:szCs w:val="16"/>
              </w:rPr>
            </w:pPr>
            <w:r w:rsidRPr="00594BBC">
              <w:rPr>
                <w:rFonts w:ascii="Aptos" w:hAnsi="Aptos"/>
                <w:sz w:val="16"/>
                <w:szCs w:val="16"/>
              </w:rPr>
              <w:t>“</w:t>
            </w:r>
            <w:r w:rsidR="007319F8" w:rsidRPr="00594BBC">
              <w:rPr>
                <w:rFonts w:ascii="Aptos" w:hAnsi="Aptos"/>
                <w:sz w:val="16"/>
                <w:szCs w:val="16"/>
              </w:rPr>
              <w:t>Geogavirus atlanticense</w:t>
            </w:r>
            <w:r w:rsidRPr="00594BBC">
              <w:rPr>
                <w:rFonts w:ascii="Aptos" w:hAnsi="Aptos"/>
                <w:sz w:val="16"/>
                <w:szCs w:val="16"/>
              </w:rPr>
              <w:t>”</w:t>
            </w:r>
          </w:p>
        </w:tc>
        <w:tc>
          <w:tcPr>
            <w:tcW w:w="2067" w:type="dxa"/>
            <w:gridSpan w:val="2"/>
            <w:tcBorders>
              <w:left w:val="single" w:sz="4" w:space="0" w:color="FFFFFF" w:themeColor="background1"/>
              <w:right w:val="single" w:sz="4" w:space="0" w:color="FFFFFF" w:themeColor="background1"/>
            </w:tcBorders>
          </w:tcPr>
          <w:p w14:paraId="2FCBB37B" w14:textId="08E2C9C3"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Geoglobus acetivorans pleomorphic virus 1</w:t>
            </w:r>
          </w:p>
        </w:tc>
        <w:tc>
          <w:tcPr>
            <w:tcW w:w="1275" w:type="dxa"/>
            <w:gridSpan w:val="2"/>
            <w:tcBorders>
              <w:left w:val="single" w:sz="4" w:space="0" w:color="FFFFFF" w:themeColor="background1"/>
              <w:right w:val="single" w:sz="4" w:space="0" w:color="FFFFFF" w:themeColor="background1"/>
            </w:tcBorders>
          </w:tcPr>
          <w:p w14:paraId="74F1BB14" w14:textId="605CD9A1"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GacPV1</w:t>
            </w:r>
          </w:p>
        </w:tc>
        <w:tc>
          <w:tcPr>
            <w:tcW w:w="993" w:type="dxa"/>
            <w:gridSpan w:val="2"/>
            <w:tcBorders>
              <w:left w:val="single" w:sz="4" w:space="0" w:color="FFFFFF" w:themeColor="background1"/>
              <w:right w:val="single" w:sz="4" w:space="0" w:color="FFFFFF" w:themeColor="background1"/>
            </w:tcBorders>
          </w:tcPr>
          <w:p w14:paraId="34B143E9" w14:textId="149689A8" w:rsidR="007319F8" w:rsidRPr="007319F8" w:rsidRDefault="00594BBC" w:rsidP="007319F8">
            <w:pPr>
              <w:rPr>
                <w:rFonts w:ascii="Aptos" w:hAnsi="Aptos" w:cs="Calibri"/>
                <w:iCs/>
                <w:color w:val="000000" w:themeColor="text1"/>
                <w:sz w:val="16"/>
                <w:szCs w:val="16"/>
              </w:rPr>
            </w:pPr>
            <w:r w:rsidRPr="00594BBC">
              <w:rPr>
                <w:rFonts w:ascii="Aptos" w:hAnsi="Aptos" w:cs="Calibri"/>
                <w:iCs/>
                <w:color w:val="000000" w:themeColor="text1"/>
                <w:sz w:val="16"/>
                <w:szCs w:val="16"/>
              </w:rPr>
              <w:t>13362</w:t>
            </w:r>
          </w:p>
        </w:tc>
        <w:tc>
          <w:tcPr>
            <w:tcW w:w="1276" w:type="dxa"/>
            <w:gridSpan w:val="2"/>
            <w:tcBorders>
              <w:left w:val="single" w:sz="4" w:space="0" w:color="FFFFFF" w:themeColor="background1"/>
              <w:right w:val="single" w:sz="4" w:space="0" w:color="FFFFFF" w:themeColor="background1"/>
            </w:tcBorders>
          </w:tcPr>
          <w:p w14:paraId="0F870D66" w14:textId="17954E0A"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BK065156</w:t>
            </w:r>
          </w:p>
        </w:tc>
      </w:tr>
      <w:tr w:rsidR="007319F8" w:rsidRPr="007319F8" w14:paraId="77B1433C" w14:textId="77777777" w:rsidTr="00594BBC">
        <w:tc>
          <w:tcPr>
            <w:tcW w:w="1165" w:type="dxa"/>
            <w:gridSpan w:val="2"/>
            <w:tcBorders>
              <w:left w:val="single" w:sz="4" w:space="0" w:color="FFFFFF" w:themeColor="background1"/>
              <w:right w:val="single" w:sz="4" w:space="0" w:color="FFFFFF" w:themeColor="background1"/>
            </w:tcBorders>
          </w:tcPr>
          <w:p w14:paraId="335DA6B7" w14:textId="0003E15B" w:rsidR="007319F8" w:rsidRPr="00594BBC" w:rsidRDefault="00594BBC" w:rsidP="007319F8">
            <w:pPr>
              <w:rPr>
                <w:rFonts w:ascii="Aptos" w:hAnsi="Aptos" w:cs="Calibri"/>
                <w:color w:val="000000" w:themeColor="text1"/>
                <w:sz w:val="16"/>
                <w:szCs w:val="16"/>
              </w:rPr>
            </w:pPr>
            <w:r w:rsidRPr="00594BBC">
              <w:rPr>
                <w:rFonts w:ascii="Aptos" w:hAnsi="Aptos"/>
                <w:sz w:val="16"/>
                <w:szCs w:val="16"/>
              </w:rPr>
              <w:t>“</w:t>
            </w:r>
            <w:r w:rsidR="007319F8" w:rsidRPr="00594BBC">
              <w:rPr>
                <w:rFonts w:ascii="Aptos" w:hAnsi="Aptos"/>
                <w:sz w:val="16"/>
                <w:szCs w:val="16"/>
              </w:rPr>
              <w:t>Geogavirus</w:t>
            </w:r>
            <w:r w:rsidRPr="00594BBC">
              <w:rPr>
                <w:rFonts w:ascii="Aptos" w:hAnsi="Aptos"/>
                <w:sz w:val="16"/>
                <w:szCs w:val="16"/>
              </w:rPr>
              <w:t>”</w:t>
            </w:r>
          </w:p>
        </w:tc>
        <w:tc>
          <w:tcPr>
            <w:tcW w:w="2160" w:type="dxa"/>
            <w:gridSpan w:val="2"/>
            <w:tcBorders>
              <w:left w:val="single" w:sz="4" w:space="0" w:color="FFFFFF" w:themeColor="background1"/>
              <w:right w:val="single" w:sz="4" w:space="0" w:color="FFFFFF" w:themeColor="background1"/>
            </w:tcBorders>
          </w:tcPr>
          <w:p w14:paraId="2AD19645" w14:textId="4174E7F1" w:rsidR="007319F8" w:rsidRPr="00594BBC" w:rsidRDefault="00594BBC" w:rsidP="007319F8">
            <w:pPr>
              <w:rPr>
                <w:rFonts w:ascii="Aptos" w:hAnsi="Aptos" w:cs="Calibri"/>
                <w:color w:val="000000" w:themeColor="text1"/>
                <w:sz w:val="16"/>
                <w:szCs w:val="16"/>
              </w:rPr>
            </w:pPr>
            <w:r w:rsidRPr="00594BBC">
              <w:rPr>
                <w:rFonts w:ascii="Aptos" w:hAnsi="Aptos"/>
                <w:sz w:val="16"/>
                <w:szCs w:val="16"/>
              </w:rPr>
              <w:t>“</w:t>
            </w:r>
            <w:r w:rsidR="007319F8" w:rsidRPr="00594BBC">
              <w:rPr>
                <w:rFonts w:ascii="Aptos" w:hAnsi="Aptos"/>
                <w:sz w:val="16"/>
                <w:szCs w:val="16"/>
              </w:rPr>
              <w:t>Geogavirus guaymasense</w:t>
            </w:r>
            <w:r w:rsidRPr="00594BBC">
              <w:rPr>
                <w:rFonts w:ascii="Aptos" w:hAnsi="Aptos"/>
                <w:sz w:val="16"/>
                <w:szCs w:val="16"/>
              </w:rPr>
              <w:t>”</w:t>
            </w:r>
          </w:p>
        </w:tc>
        <w:tc>
          <w:tcPr>
            <w:tcW w:w="2067" w:type="dxa"/>
            <w:gridSpan w:val="2"/>
            <w:tcBorders>
              <w:left w:val="single" w:sz="4" w:space="0" w:color="FFFFFF" w:themeColor="background1"/>
              <w:right w:val="single" w:sz="4" w:space="0" w:color="FFFFFF" w:themeColor="background1"/>
            </w:tcBorders>
          </w:tcPr>
          <w:p w14:paraId="457E9C19" w14:textId="7F630219"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Geoglobus ahangari pleomorphic virus 1</w:t>
            </w:r>
          </w:p>
        </w:tc>
        <w:tc>
          <w:tcPr>
            <w:tcW w:w="1275" w:type="dxa"/>
            <w:gridSpan w:val="2"/>
            <w:tcBorders>
              <w:left w:val="single" w:sz="4" w:space="0" w:color="FFFFFF" w:themeColor="background1"/>
              <w:right w:val="single" w:sz="4" w:space="0" w:color="FFFFFF" w:themeColor="background1"/>
            </w:tcBorders>
          </w:tcPr>
          <w:p w14:paraId="1AE5E2E6" w14:textId="6515F23E"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GahPV1</w:t>
            </w:r>
          </w:p>
        </w:tc>
        <w:tc>
          <w:tcPr>
            <w:tcW w:w="993" w:type="dxa"/>
            <w:gridSpan w:val="2"/>
            <w:tcBorders>
              <w:left w:val="single" w:sz="4" w:space="0" w:color="FFFFFF" w:themeColor="background1"/>
              <w:right w:val="single" w:sz="4" w:space="0" w:color="FFFFFF" w:themeColor="background1"/>
            </w:tcBorders>
          </w:tcPr>
          <w:p w14:paraId="25374C6A" w14:textId="2044D211" w:rsidR="007319F8" w:rsidRPr="007319F8" w:rsidRDefault="00594BBC" w:rsidP="007319F8">
            <w:pPr>
              <w:rPr>
                <w:rFonts w:ascii="Aptos" w:hAnsi="Aptos" w:cs="Calibri"/>
                <w:iCs/>
                <w:color w:val="000000" w:themeColor="text1"/>
                <w:sz w:val="16"/>
                <w:szCs w:val="16"/>
              </w:rPr>
            </w:pPr>
            <w:r w:rsidRPr="00594BBC">
              <w:rPr>
                <w:rFonts w:ascii="Aptos" w:hAnsi="Aptos" w:cs="Calibri"/>
                <w:iCs/>
                <w:color w:val="000000" w:themeColor="text1"/>
                <w:sz w:val="16"/>
                <w:szCs w:val="16"/>
              </w:rPr>
              <w:t>16765</w:t>
            </w:r>
          </w:p>
        </w:tc>
        <w:tc>
          <w:tcPr>
            <w:tcW w:w="1276" w:type="dxa"/>
            <w:gridSpan w:val="2"/>
            <w:tcBorders>
              <w:left w:val="single" w:sz="4" w:space="0" w:color="FFFFFF" w:themeColor="background1"/>
              <w:right w:val="single" w:sz="4" w:space="0" w:color="FFFFFF" w:themeColor="background1"/>
            </w:tcBorders>
          </w:tcPr>
          <w:p w14:paraId="557B5679" w14:textId="55DF9E9D"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BK065157</w:t>
            </w:r>
          </w:p>
        </w:tc>
      </w:tr>
      <w:tr w:rsidR="007319F8" w:rsidRPr="007319F8" w14:paraId="07BFD7F8" w14:textId="77777777" w:rsidTr="00594BBC">
        <w:tc>
          <w:tcPr>
            <w:tcW w:w="1165" w:type="dxa"/>
            <w:gridSpan w:val="2"/>
            <w:tcBorders>
              <w:left w:val="single" w:sz="4" w:space="0" w:color="FFFFFF" w:themeColor="background1"/>
              <w:right w:val="single" w:sz="4" w:space="0" w:color="FFFFFF" w:themeColor="background1"/>
            </w:tcBorders>
          </w:tcPr>
          <w:p w14:paraId="064CE081" w14:textId="7C5B7041" w:rsidR="007319F8" w:rsidRPr="00594BBC" w:rsidRDefault="00594BBC" w:rsidP="007319F8">
            <w:pPr>
              <w:rPr>
                <w:rFonts w:ascii="Aptos" w:hAnsi="Aptos" w:cs="Calibri"/>
                <w:color w:val="000000" w:themeColor="text1"/>
                <w:sz w:val="16"/>
                <w:szCs w:val="16"/>
              </w:rPr>
            </w:pPr>
            <w:r w:rsidRPr="00594BBC">
              <w:rPr>
                <w:rFonts w:ascii="Aptos" w:hAnsi="Aptos"/>
                <w:sz w:val="16"/>
                <w:szCs w:val="16"/>
              </w:rPr>
              <w:t>“</w:t>
            </w:r>
            <w:r w:rsidR="007319F8" w:rsidRPr="00594BBC">
              <w:rPr>
                <w:rFonts w:ascii="Aptos" w:hAnsi="Aptos"/>
                <w:sz w:val="16"/>
                <w:szCs w:val="16"/>
              </w:rPr>
              <w:t>Geogavirus</w:t>
            </w:r>
            <w:r w:rsidRPr="00594BBC">
              <w:rPr>
                <w:rFonts w:ascii="Aptos" w:hAnsi="Aptos"/>
                <w:sz w:val="16"/>
                <w:szCs w:val="16"/>
              </w:rPr>
              <w:t>”</w:t>
            </w:r>
          </w:p>
        </w:tc>
        <w:tc>
          <w:tcPr>
            <w:tcW w:w="2160" w:type="dxa"/>
            <w:gridSpan w:val="2"/>
            <w:tcBorders>
              <w:left w:val="single" w:sz="4" w:space="0" w:color="FFFFFF" w:themeColor="background1"/>
              <w:right w:val="single" w:sz="4" w:space="0" w:color="FFFFFF" w:themeColor="background1"/>
            </w:tcBorders>
          </w:tcPr>
          <w:p w14:paraId="4E4D6557" w14:textId="3C23AD84" w:rsidR="007319F8" w:rsidRPr="00594BBC" w:rsidRDefault="00594BBC" w:rsidP="007319F8">
            <w:pPr>
              <w:rPr>
                <w:rFonts w:ascii="Aptos" w:hAnsi="Aptos" w:cs="Calibri"/>
                <w:color w:val="000000" w:themeColor="text1"/>
                <w:sz w:val="16"/>
                <w:szCs w:val="16"/>
              </w:rPr>
            </w:pPr>
            <w:r w:rsidRPr="00594BBC">
              <w:rPr>
                <w:rFonts w:ascii="Aptos" w:hAnsi="Aptos"/>
                <w:sz w:val="16"/>
                <w:szCs w:val="16"/>
              </w:rPr>
              <w:t>“</w:t>
            </w:r>
            <w:r w:rsidR="007319F8" w:rsidRPr="00594BBC">
              <w:rPr>
                <w:rFonts w:ascii="Aptos" w:hAnsi="Aptos"/>
                <w:sz w:val="16"/>
                <w:szCs w:val="16"/>
              </w:rPr>
              <w:t>Geogavirus pacificense</w:t>
            </w:r>
            <w:r w:rsidRPr="00594BBC">
              <w:rPr>
                <w:rFonts w:ascii="Aptos" w:hAnsi="Aptos"/>
                <w:sz w:val="16"/>
                <w:szCs w:val="16"/>
              </w:rPr>
              <w:t>”</w:t>
            </w:r>
          </w:p>
        </w:tc>
        <w:tc>
          <w:tcPr>
            <w:tcW w:w="2067" w:type="dxa"/>
            <w:gridSpan w:val="2"/>
            <w:tcBorders>
              <w:left w:val="single" w:sz="4" w:space="0" w:color="FFFFFF" w:themeColor="background1"/>
              <w:right w:val="single" w:sz="4" w:space="0" w:color="FFFFFF" w:themeColor="background1"/>
            </w:tcBorders>
          </w:tcPr>
          <w:p w14:paraId="0A35A874" w14:textId="14546522"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Thalassapleovirus 2</w:t>
            </w:r>
          </w:p>
        </w:tc>
        <w:tc>
          <w:tcPr>
            <w:tcW w:w="1275" w:type="dxa"/>
            <w:gridSpan w:val="2"/>
            <w:tcBorders>
              <w:left w:val="single" w:sz="4" w:space="0" w:color="FFFFFF" w:themeColor="background1"/>
              <w:right w:val="single" w:sz="4" w:space="0" w:color="FFFFFF" w:themeColor="background1"/>
            </w:tcBorders>
          </w:tcPr>
          <w:p w14:paraId="721E7C3A" w14:textId="15FB1EED"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ThalV2</w:t>
            </w:r>
          </w:p>
        </w:tc>
        <w:tc>
          <w:tcPr>
            <w:tcW w:w="993" w:type="dxa"/>
            <w:gridSpan w:val="2"/>
            <w:tcBorders>
              <w:left w:val="single" w:sz="4" w:space="0" w:color="FFFFFF" w:themeColor="background1"/>
              <w:right w:val="single" w:sz="4" w:space="0" w:color="FFFFFF" w:themeColor="background1"/>
            </w:tcBorders>
          </w:tcPr>
          <w:p w14:paraId="478C288E" w14:textId="0D9EE94C" w:rsidR="007319F8" w:rsidRPr="007319F8" w:rsidRDefault="00594BBC" w:rsidP="007319F8">
            <w:pPr>
              <w:rPr>
                <w:rFonts w:ascii="Aptos" w:hAnsi="Aptos" w:cs="Calibri"/>
                <w:iCs/>
                <w:color w:val="000000" w:themeColor="text1"/>
                <w:sz w:val="16"/>
                <w:szCs w:val="16"/>
              </w:rPr>
            </w:pPr>
            <w:r w:rsidRPr="00594BBC">
              <w:rPr>
                <w:rFonts w:ascii="Aptos" w:hAnsi="Aptos" w:cs="Calibri"/>
                <w:iCs/>
                <w:color w:val="000000" w:themeColor="text1"/>
                <w:sz w:val="16"/>
                <w:szCs w:val="16"/>
              </w:rPr>
              <w:t>16206</w:t>
            </w:r>
          </w:p>
        </w:tc>
        <w:tc>
          <w:tcPr>
            <w:tcW w:w="1276" w:type="dxa"/>
            <w:gridSpan w:val="2"/>
            <w:tcBorders>
              <w:left w:val="single" w:sz="4" w:space="0" w:color="FFFFFF" w:themeColor="background1"/>
              <w:right w:val="single" w:sz="4" w:space="0" w:color="FFFFFF" w:themeColor="background1"/>
            </w:tcBorders>
          </w:tcPr>
          <w:p w14:paraId="66FCB530" w14:textId="7ED4C3B9" w:rsidR="007319F8" w:rsidRPr="007319F8" w:rsidRDefault="007319F8" w:rsidP="007319F8">
            <w:pPr>
              <w:rPr>
                <w:rFonts w:ascii="Aptos" w:hAnsi="Aptos" w:cs="Calibri"/>
                <w:iCs/>
                <w:color w:val="000000" w:themeColor="text1"/>
                <w:sz w:val="16"/>
                <w:szCs w:val="16"/>
              </w:rPr>
            </w:pPr>
            <w:r w:rsidRPr="007319F8">
              <w:rPr>
                <w:rFonts w:ascii="Aptos" w:hAnsi="Aptos"/>
                <w:sz w:val="16"/>
                <w:szCs w:val="16"/>
              </w:rPr>
              <w:t>BK065158</w:t>
            </w:r>
          </w:p>
        </w:tc>
      </w:tr>
    </w:tbl>
    <w:p w14:paraId="3801E9CA" w14:textId="77777777" w:rsidR="007319F8" w:rsidRDefault="007319F8" w:rsidP="007319F8">
      <w:pPr>
        <w:rPr>
          <w:rFonts w:ascii="Arial" w:hAnsi="Arial" w:cs="Arial"/>
          <w:b/>
          <w:sz w:val="22"/>
          <w:szCs w:val="22"/>
        </w:rPr>
      </w:pPr>
    </w:p>
    <w:p w14:paraId="4224478D" w14:textId="77777777" w:rsidR="00594BBC" w:rsidRDefault="004216B8" w:rsidP="00C95FB7">
      <w:pPr>
        <w:spacing w:before="120" w:after="120"/>
        <w:rPr>
          <w:rFonts w:ascii="Aptos" w:hAnsi="Aptos"/>
          <w:b/>
          <w:bCs/>
          <w:sz w:val="20"/>
          <w:szCs w:val="20"/>
        </w:rPr>
      </w:pPr>
      <w:r>
        <w:rPr>
          <w:rFonts w:ascii="Aptos" w:hAnsi="Aptos"/>
          <w:noProof/>
          <w:color w:val="0070C0"/>
        </w:rPr>
        <w:drawing>
          <wp:inline distT="0" distB="0" distL="0" distR="0" wp14:anchorId="21DE8B86" wp14:editId="018CF897">
            <wp:extent cx="5740952" cy="1866900"/>
            <wp:effectExtent l="0" t="0" r="0" b="0"/>
            <wp:docPr id="1706882350" name="Picture 12" descr="A close-up of a roun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82350" name="Picture 12" descr="A close-up of a round object&#10;&#10;Description automatically generated"/>
                    <pic:cNvPicPr/>
                  </pic:nvPicPr>
                  <pic:blipFill>
                    <a:blip r:embed="rId12"/>
                    <a:stretch>
                      <a:fillRect/>
                    </a:stretch>
                  </pic:blipFill>
                  <pic:spPr>
                    <a:xfrm>
                      <a:off x="0" y="0"/>
                      <a:ext cx="5754909" cy="1871439"/>
                    </a:xfrm>
                    <a:prstGeom prst="rect">
                      <a:avLst/>
                    </a:prstGeom>
                  </pic:spPr>
                </pic:pic>
              </a:graphicData>
            </a:graphic>
          </wp:inline>
        </w:drawing>
      </w:r>
    </w:p>
    <w:p w14:paraId="291D1C76" w14:textId="0DA9B227" w:rsidR="001776E1" w:rsidRDefault="001776E1" w:rsidP="00C95FB7">
      <w:pPr>
        <w:spacing w:before="120" w:after="120"/>
        <w:rPr>
          <w:rFonts w:ascii="Aptos" w:hAnsi="Aptos"/>
          <w:sz w:val="20"/>
          <w:szCs w:val="20"/>
        </w:rPr>
      </w:pPr>
      <w:r w:rsidRPr="003417F8">
        <w:rPr>
          <w:rFonts w:ascii="Aptos" w:hAnsi="Aptos"/>
          <w:b/>
          <w:bCs/>
          <w:sz w:val="20"/>
          <w:szCs w:val="20"/>
        </w:rPr>
        <w:t>Figure 1.</w:t>
      </w:r>
      <w:r w:rsidR="003417F8" w:rsidRPr="003417F8">
        <w:t xml:space="preserve"> </w:t>
      </w:r>
      <w:r w:rsidR="003417F8" w:rsidRPr="003417F8">
        <w:rPr>
          <w:rFonts w:ascii="Aptos" w:hAnsi="Aptos"/>
          <w:sz w:val="20"/>
          <w:szCs w:val="20"/>
        </w:rPr>
        <w:t>Archaeoglobus veneficus pleomorphic virus 1 (AvPV1). A, Electron micrographs of pleomorphic VLPs negatively stained with 2% uranyl acetate. (Scale bar, 100 nm). B, Genome map of AvPV1. The open reading frames (ORFs) are represented with arrows indicating the direction of transcription.</w:t>
      </w:r>
      <w:r w:rsidR="00C7713E">
        <w:rPr>
          <w:rFonts w:ascii="Aptos" w:hAnsi="Aptos"/>
          <w:sz w:val="20"/>
          <w:szCs w:val="20"/>
        </w:rPr>
        <w:t xml:space="preserve"> </w:t>
      </w:r>
    </w:p>
    <w:p w14:paraId="39F9261F" w14:textId="77777777" w:rsidR="00E81144" w:rsidRPr="00E0022F" w:rsidRDefault="00E81144" w:rsidP="00C95FB7">
      <w:pPr>
        <w:spacing w:before="120" w:after="120"/>
        <w:rPr>
          <w:rFonts w:ascii="Aptos" w:hAnsi="Aptos"/>
          <w:sz w:val="20"/>
          <w:szCs w:val="20"/>
        </w:rPr>
      </w:pPr>
    </w:p>
    <w:p w14:paraId="0669B0F1" w14:textId="77777777" w:rsidR="00E81144" w:rsidRDefault="00404628" w:rsidP="00E0022F">
      <w:pPr>
        <w:spacing w:before="120" w:after="120"/>
        <w:rPr>
          <w:rFonts w:ascii="Aptos" w:hAnsi="Aptos"/>
          <w:b/>
          <w:bCs/>
          <w:sz w:val="20"/>
          <w:szCs w:val="20"/>
        </w:rPr>
      </w:pPr>
      <w:r>
        <w:rPr>
          <w:rFonts w:ascii="Aptos" w:hAnsi="Aptos"/>
          <w:noProof/>
          <w:color w:val="0070C0"/>
        </w:rPr>
        <w:drawing>
          <wp:inline distT="0" distB="0" distL="0" distR="0" wp14:anchorId="110D8DCD" wp14:editId="54E630AB">
            <wp:extent cx="5926455" cy="1429303"/>
            <wp:effectExtent l="0" t="0" r="0" b="0"/>
            <wp:docPr id="498313224" name="Picture 3" descr="A group of colorful spir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13224" name="Picture 3" descr="A group of colorful spiral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1429303"/>
                    </a:xfrm>
                    <a:prstGeom prst="rect">
                      <a:avLst/>
                    </a:prstGeom>
                  </pic:spPr>
                </pic:pic>
              </a:graphicData>
            </a:graphic>
          </wp:inline>
        </w:drawing>
      </w:r>
    </w:p>
    <w:p w14:paraId="1B78B2AF" w14:textId="77777777" w:rsidR="00E81144" w:rsidRDefault="00E81144" w:rsidP="00E0022F">
      <w:pPr>
        <w:spacing w:before="120" w:after="120"/>
        <w:rPr>
          <w:rFonts w:ascii="Aptos" w:hAnsi="Aptos"/>
          <w:b/>
          <w:bCs/>
          <w:sz w:val="20"/>
          <w:szCs w:val="20"/>
        </w:rPr>
      </w:pPr>
    </w:p>
    <w:p w14:paraId="1AC849A5" w14:textId="1FB5C5F9" w:rsidR="00E0022F" w:rsidRDefault="00E0022F" w:rsidP="00E0022F">
      <w:pPr>
        <w:spacing w:before="120" w:after="120"/>
        <w:rPr>
          <w:rFonts w:ascii="Aptos" w:hAnsi="Aptos"/>
          <w:sz w:val="20"/>
          <w:szCs w:val="20"/>
        </w:rPr>
      </w:pPr>
      <w:r w:rsidRPr="00813DE9">
        <w:rPr>
          <w:rFonts w:ascii="Aptos" w:hAnsi="Aptos"/>
          <w:b/>
          <w:bCs/>
          <w:sz w:val="20"/>
          <w:szCs w:val="20"/>
        </w:rPr>
        <w:t>Figure 2.</w:t>
      </w:r>
      <w:r w:rsidR="003417F8" w:rsidRPr="003417F8">
        <w:rPr>
          <w:rFonts w:ascii="Aptos" w:hAnsi="Aptos"/>
          <w:sz w:val="20"/>
          <w:szCs w:val="20"/>
        </w:rPr>
        <w:t xml:space="preserve"> Structural models of </w:t>
      </w:r>
      <w:r w:rsidR="003417F8">
        <w:rPr>
          <w:rFonts w:ascii="Aptos" w:hAnsi="Aptos"/>
          <w:sz w:val="20"/>
          <w:szCs w:val="20"/>
        </w:rPr>
        <w:t xml:space="preserve">VP4-like fusogens. </w:t>
      </w:r>
      <w:r w:rsidR="003417F8" w:rsidRPr="003417F8">
        <w:rPr>
          <w:rFonts w:ascii="Aptos" w:hAnsi="Aptos"/>
          <w:sz w:val="20"/>
          <w:szCs w:val="20"/>
        </w:rPr>
        <w:t>Comparison of the published crystal structure of the fusion protein of the haloarchaeal pleolipovirus HRPV6 (PDB: 6QGL</w:t>
      </w:r>
      <w:r w:rsidR="003417F8">
        <w:rPr>
          <w:rFonts w:ascii="Aptos" w:hAnsi="Aptos"/>
          <w:sz w:val="20"/>
          <w:szCs w:val="20"/>
        </w:rPr>
        <w:t xml:space="preserve">; </w:t>
      </w:r>
      <w:r w:rsidR="003417F8" w:rsidRPr="00DC23CE">
        <w:rPr>
          <w:rFonts w:ascii="Aptos" w:hAnsi="Aptos" w:cs="Arial"/>
          <w:sz w:val="20"/>
          <w:szCs w:val="20"/>
        </w:rPr>
        <w:t>El Omari</w:t>
      </w:r>
      <w:r w:rsidR="003417F8">
        <w:rPr>
          <w:rFonts w:ascii="Aptos" w:hAnsi="Aptos" w:cs="Arial"/>
          <w:sz w:val="20"/>
          <w:szCs w:val="20"/>
        </w:rPr>
        <w:t xml:space="preserve"> et al., 2019</w:t>
      </w:r>
      <w:r w:rsidR="003417F8" w:rsidRPr="003417F8">
        <w:rPr>
          <w:rFonts w:ascii="Aptos" w:hAnsi="Aptos"/>
          <w:sz w:val="20"/>
          <w:szCs w:val="20"/>
        </w:rPr>
        <w:t>) to the AlphaFold2 structural model for the VP4-like fusion protein of AvPV1</w:t>
      </w:r>
      <w:r w:rsidR="003417F8">
        <w:rPr>
          <w:rFonts w:ascii="Aptos" w:hAnsi="Aptos"/>
          <w:sz w:val="20"/>
          <w:szCs w:val="20"/>
        </w:rPr>
        <w:t>, ApPV1, GacPV1 and GahPV1</w:t>
      </w:r>
      <w:r w:rsidR="003417F8" w:rsidRPr="003417F8">
        <w:rPr>
          <w:rFonts w:ascii="Aptos" w:hAnsi="Aptos"/>
          <w:sz w:val="20"/>
          <w:szCs w:val="20"/>
        </w:rPr>
        <w:t>. Terminal ends containing the transmembrane domains were trimmed for the convenience of presentation. Protein structures are colored using the rainbow scheme from blue (N-terminus) to red (C-terminus).</w:t>
      </w:r>
    </w:p>
    <w:p w14:paraId="1B4DEAA3" w14:textId="77777777" w:rsidR="00E81144" w:rsidRPr="003417F8" w:rsidRDefault="00E81144" w:rsidP="00E0022F">
      <w:pPr>
        <w:spacing w:before="120" w:after="120"/>
        <w:rPr>
          <w:rFonts w:ascii="Aptos" w:hAnsi="Aptos"/>
          <w:sz w:val="20"/>
          <w:szCs w:val="20"/>
        </w:rPr>
      </w:pPr>
    </w:p>
    <w:p w14:paraId="64E33E1A" w14:textId="77777777" w:rsidR="00E81144" w:rsidRDefault="00404628" w:rsidP="00E0022F">
      <w:pPr>
        <w:spacing w:before="120" w:after="120"/>
        <w:rPr>
          <w:rFonts w:ascii="Aptos" w:hAnsi="Aptos"/>
          <w:b/>
          <w:bCs/>
          <w:sz w:val="20"/>
          <w:szCs w:val="20"/>
        </w:rPr>
      </w:pPr>
      <w:r>
        <w:rPr>
          <w:rFonts w:ascii="Aptos" w:hAnsi="Aptos"/>
          <w:noProof/>
          <w:color w:val="0070C0"/>
        </w:rPr>
        <w:lastRenderedPageBreak/>
        <w:drawing>
          <wp:inline distT="0" distB="0" distL="0" distR="0" wp14:anchorId="7DD45DBE" wp14:editId="7B7FAD83">
            <wp:extent cx="5676900" cy="2462396"/>
            <wp:effectExtent l="0" t="0" r="0" b="0"/>
            <wp:docPr id="231084324" name="Picture 2"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84324" name="Picture 2" descr="A close-up of a graph&#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3036" cy="2495421"/>
                    </a:xfrm>
                    <a:prstGeom prst="rect">
                      <a:avLst/>
                    </a:prstGeom>
                  </pic:spPr>
                </pic:pic>
              </a:graphicData>
            </a:graphic>
          </wp:inline>
        </w:drawing>
      </w:r>
    </w:p>
    <w:p w14:paraId="7B20CA75" w14:textId="083E9B94" w:rsidR="00E0022F" w:rsidRPr="00E0022F" w:rsidRDefault="00E0022F" w:rsidP="00E0022F">
      <w:pPr>
        <w:spacing w:before="120" w:after="120"/>
        <w:rPr>
          <w:rFonts w:ascii="Aptos" w:hAnsi="Aptos"/>
          <w:sz w:val="20"/>
          <w:szCs w:val="20"/>
        </w:rPr>
      </w:pPr>
      <w:r w:rsidRPr="00813DE9">
        <w:rPr>
          <w:rFonts w:ascii="Aptos" w:hAnsi="Aptos"/>
          <w:b/>
          <w:bCs/>
          <w:sz w:val="20"/>
          <w:szCs w:val="20"/>
        </w:rPr>
        <w:t>Figure 3.</w:t>
      </w:r>
      <w:r w:rsidR="00813DE9">
        <w:rPr>
          <w:rFonts w:ascii="Aptos" w:hAnsi="Aptos"/>
          <w:sz w:val="20"/>
          <w:szCs w:val="20"/>
        </w:rPr>
        <w:t xml:space="preserve"> </w:t>
      </w:r>
      <w:r w:rsidR="00813DE9" w:rsidRPr="00813DE9">
        <w:rPr>
          <w:rFonts w:ascii="Aptos" w:hAnsi="Aptos"/>
          <w:sz w:val="20"/>
          <w:szCs w:val="20"/>
        </w:rPr>
        <w:t>Alignment of complete or nearly-complete genomes of pleomorphic viruses originating from marine deep-sea hydrothermal vents. ORFs are depicted by arrows that indicate the direction of transcription. Functional annotations are depicted above the corresponding ORFs. Homologous genes are shown using the same colors and are connected by shading in grayscale, with intensity reflecting the amino acid sequence identity. HJR, Holliday junction resolvase; NT, nucleotidyltransferase; PH, pleckstrin homology domain; PIN, PIN domain protein; RHH, ribbon-helix-helix protein; RCRE, rolling-circle replication endonuclease; TGM, transglutaminase; wHTH, winged helix-turn-helix domain; Zn finger, zinc finger domain-containing protein.</w:t>
      </w:r>
    </w:p>
    <w:p w14:paraId="568017C6" w14:textId="77777777" w:rsidR="00E81144" w:rsidRDefault="006615F1" w:rsidP="006615F1">
      <w:pPr>
        <w:spacing w:before="120" w:after="120"/>
        <w:rPr>
          <w:rFonts w:ascii="Aptos" w:hAnsi="Aptos"/>
          <w:b/>
          <w:bCs/>
          <w:sz w:val="20"/>
          <w:szCs w:val="20"/>
        </w:rPr>
      </w:pPr>
      <w:r>
        <w:rPr>
          <w:rFonts w:ascii="Aptos" w:hAnsi="Aptos"/>
          <w:noProof/>
          <w:color w:val="0070C0"/>
        </w:rPr>
        <w:lastRenderedPageBreak/>
        <w:drawing>
          <wp:inline distT="0" distB="0" distL="0" distR="0" wp14:anchorId="22C70ED8" wp14:editId="7723A4D4">
            <wp:extent cx="3793344" cy="6282690"/>
            <wp:effectExtent l="0" t="0" r="0" b="3810"/>
            <wp:docPr id="1490957333"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57333" name="Picture 10"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05185" cy="6302301"/>
                    </a:xfrm>
                    <a:prstGeom prst="rect">
                      <a:avLst/>
                    </a:prstGeom>
                  </pic:spPr>
                </pic:pic>
              </a:graphicData>
            </a:graphic>
          </wp:inline>
        </w:drawing>
      </w:r>
    </w:p>
    <w:p w14:paraId="6F0A0A2C" w14:textId="77777777" w:rsidR="00E81144" w:rsidRDefault="00E81144" w:rsidP="006615F1">
      <w:pPr>
        <w:spacing w:before="120" w:after="120"/>
        <w:rPr>
          <w:rFonts w:ascii="Aptos" w:hAnsi="Aptos"/>
          <w:b/>
          <w:bCs/>
          <w:sz w:val="20"/>
          <w:szCs w:val="20"/>
        </w:rPr>
      </w:pPr>
    </w:p>
    <w:p w14:paraId="0370795B" w14:textId="0B1CE857" w:rsidR="00E0022F" w:rsidRPr="00E0022F" w:rsidRDefault="00E0022F" w:rsidP="006615F1">
      <w:pPr>
        <w:spacing w:before="120" w:after="120"/>
        <w:rPr>
          <w:rFonts w:ascii="Aptos" w:hAnsi="Aptos"/>
          <w:sz w:val="20"/>
          <w:szCs w:val="20"/>
        </w:rPr>
      </w:pPr>
      <w:r w:rsidRPr="006615F1">
        <w:rPr>
          <w:rFonts w:ascii="Aptos" w:hAnsi="Aptos"/>
          <w:b/>
          <w:bCs/>
          <w:sz w:val="20"/>
          <w:szCs w:val="20"/>
        </w:rPr>
        <w:t>Figure 4.</w:t>
      </w:r>
      <w:r w:rsidR="00813DE9">
        <w:rPr>
          <w:rFonts w:ascii="Aptos" w:hAnsi="Aptos"/>
          <w:sz w:val="20"/>
          <w:szCs w:val="20"/>
        </w:rPr>
        <w:t xml:space="preserve"> </w:t>
      </w:r>
      <w:r w:rsidR="00813DE9" w:rsidRPr="00813DE9">
        <w:rPr>
          <w:rFonts w:ascii="Aptos" w:hAnsi="Aptos"/>
          <w:sz w:val="20"/>
          <w:szCs w:val="20"/>
        </w:rPr>
        <w:t xml:space="preserve">Inferred phylogenomic tree of pleomorphical viruses associated with hyperthermophilic (Archaeoglobi), halophilic (Halobacteria) and methanogenic (Methanonatronarchaeia and Methanomassiliicoccales) archaea based on whole genome VICTOR analysis at the amino acid level </w:t>
      </w:r>
      <w:r w:rsidR="00813DE9">
        <w:rPr>
          <w:rFonts w:ascii="Aptos" w:hAnsi="Aptos"/>
          <w:sz w:val="20"/>
          <w:szCs w:val="20"/>
        </w:rPr>
        <w:t>(</w:t>
      </w:r>
      <w:r w:rsidR="00813DE9" w:rsidRPr="00813DE9">
        <w:rPr>
          <w:rFonts w:ascii="Aptos" w:hAnsi="Aptos" w:cs="Arial"/>
          <w:sz w:val="20"/>
          <w:szCs w:val="20"/>
        </w:rPr>
        <w:t xml:space="preserve">Meier-Kolthoff </w:t>
      </w:r>
      <w:r w:rsidR="00813DE9">
        <w:rPr>
          <w:rFonts w:ascii="Aptos" w:hAnsi="Aptos" w:cs="Arial"/>
          <w:sz w:val="20"/>
          <w:szCs w:val="20"/>
        </w:rPr>
        <w:t>and</w:t>
      </w:r>
      <w:r w:rsidR="00813DE9" w:rsidRPr="00813DE9">
        <w:rPr>
          <w:rFonts w:ascii="Aptos" w:hAnsi="Aptos" w:cs="Arial"/>
          <w:sz w:val="20"/>
          <w:szCs w:val="20"/>
        </w:rPr>
        <w:t xml:space="preserve"> Göker</w:t>
      </w:r>
      <w:r w:rsidR="00813DE9">
        <w:rPr>
          <w:rFonts w:ascii="Aptos" w:hAnsi="Aptos" w:cs="Arial"/>
          <w:sz w:val="20"/>
          <w:szCs w:val="20"/>
        </w:rPr>
        <w:t>, 2017)</w:t>
      </w:r>
      <w:r w:rsidR="00813DE9" w:rsidRPr="00813DE9">
        <w:rPr>
          <w:rFonts w:ascii="Aptos" w:hAnsi="Aptos"/>
          <w:sz w:val="20"/>
          <w:szCs w:val="20"/>
        </w:rPr>
        <w:t>. The tree is midpoint rooted and the branch length is scaled in terms of the Genome BLAST Distance Phylogeny (GBDP) distance formula D6.</w:t>
      </w:r>
      <w:r w:rsidR="006615F1" w:rsidRPr="006615F1">
        <w:t xml:space="preserve"> </w:t>
      </w:r>
      <w:r w:rsidR="006615F1" w:rsidRPr="006615F1">
        <w:rPr>
          <w:rFonts w:ascii="Aptos" w:hAnsi="Aptos"/>
          <w:sz w:val="20"/>
          <w:szCs w:val="20"/>
        </w:rPr>
        <w:t>The numbers above branches are GBDP pseudo-bootstrap support values</w:t>
      </w:r>
      <w:r w:rsidR="006615F1">
        <w:rPr>
          <w:rFonts w:ascii="Aptos" w:hAnsi="Aptos"/>
          <w:sz w:val="20"/>
          <w:szCs w:val="20"/>
        </w:rPr>
        <w:t xml:space="preserve"> </w:t>
      </w:r>
      <w:r w:rsidR="006615F1" w:rsidRPr="006615F1">
        <w:rPr>
          <w:rFonts w:ascii="Aptos" w:hAnsi="Aptos"/>
          <w:sz w:val="20"/>
          <w:szCs w:val="20"/>
        </w:rPr>
        <w:t>from 100 replications.</w:t>
      </w:r>
    </w:p>
    <w:p w14:paraId="149D36D0" w14:textId="77777777" w:rsidR="00E81144" w:rsidRDefault="00FF00B2" w:rsidP="00E0022F">
      <w:pPr>
        <w:spacing w:before="120" w:after="120"/>
        <w:rPr>
          <w:rFonts w:ascii="Aptos" w:hAnsi="Aptos"/>
          <w:b/>
          <w:bCs/>
          <w:sz w:val="20"/>
          <w:szCs w:val="20"/>
        </w:rPr>
      </w:pPr>
      <w:r>
        <w:rPr>
          <w:rFonts w:ascii="Aptos" w:hAnsi="Aptos"/>
          <w:noProof/>
          <w:color w:val="0070C0"/>
        </w:rPr>
        <w:lastRenderedPageBreak/>
        <w:drawing>
          <wp:inline distT="0" distB="0" distL="0" distR="0" wp14:anchorId="0F07DBB6" wp14:editId="7A636275">
            <wp:extent cx="5684520" cy="4669187"/>
            <wp:effectExtent l="0" t="0" r="0" b="0"/>
            <wp:docPr id="304961377" name="Picture 11" descr="A diagram of a vir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61377" name="Picture 11" descr="A diagram of a viru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690601" cy="4674182"/>
                    </a:xfrm>
                    <a:prstGeom prst="rect">
                      <a:avLst/>
                    </a:prstGeom>
                  </pic:spPr>
                </pic:pic>
              </a:graphicData>
            </a:graphic>
          </wp:inline>
        </w:drawing>
      </w:r>
    </w:p>
    <w:p w14:paraId="6A2C1670" w14:textId="51C52EB2" w:rsidR="00E0022F" w:rsidRPr="00E0022F" w:rsidRDefault="00E0022F" w:rsidP="00E0022F">
      <w:pPr>
        <w:spacing w:before="120" w:after="120"/>
        <w:rPr>
          <w:rFonts w:ascii="Aptos" w:hAnsi="Aptos"/>
          <w:sz w:val="20"/>
          <w:szCs w:val="20"/>
        </w:rPr>
      </w:pPr>
      <w:r w:rsidRPr="005B2DDF">
        <w:rPr>
          <w:rFonts w:ascii="Aptos" w:hAnsi="Aptos"/>
          <w:b/>
          <w:bCs/>
          <w:sz w:val="20"/>
          <w:szCs w:val="20"/>
        </w:rPr>
        <w:t>Figure 5.</w:t>
      </w:r>
      <w:r w:rsidR="006615F1">
        <w:rPr>
          <w:rFonts w:ascii="Aptos" w:hAnsi="Aptos"/>
          <w:sz w:val="20"/>
          <w:szCs w:val="20"/>
        </w:rPr>
        <w:t xml:space="preserve"> </w:t>
      </w:r>
      <w:r w:rsidR="006615F1" w:rsidRPr="006615F1">
        <w:rPr>
          <w:rFonts w:ascii="Aptos" w:hAnsi="Aptos"/>
          <w:sz w:val="20"/>
          <w:szCs w:val="20"/>
        </w:rPr>
        <w:t>Maximum-likelihood analysis of VP4-like fusogens. Clades of VP4 homologs encoded by viruses associated with different archaeal lineages are indicated with different colors.</w:t>
      </w:r>
      <w:r w:rsidR="00FF00B2">
        <w:rPr>
          <w:rFonts w:ascii="Aptos" w:hAnsi="Aptos"/>
          <w:sz w:val="20"/>
          <w:szCs w:val="20"/>
        </w:rPr>
        <w:t xml:space="preserve"> Pleolipovirus isolates are labeled.</w:t>
      </w:r>
      <w:r w:rsidR="006615F1" w:rsidRPr="006615F1">
        <w:rPr>
          <w:rFonts w:ascii="Aptos" w:hAnsi="Aptos"/>
          <w:sz w:val="20"/>
          <w:szCs w:val="20"/>
        </w:rPr>
        <w:t xml:space="preserve"> The scale bar represents the number of substitutions per site. Circles at nodes indicate bootstrap support &gt;90%.</w:t>
      </w:r>
      <w:r w:rsidR="00FF00B2" w:rsidRPr="00FF00B2">
        <w:t xml:space="preserve"> </w:t>
      </w:r>
      <w:r w:rsidR="00FF00B2" w:rsidRPr="00FF00B2">
        <w:rPr>
          <w:rFonts w:ascii="Aptos" w:hAnsi="Aptos"/>
          <w:sz w:val="20"/>
          <w:szCs w:val="20"/>
        </w:rPr>
        <w:t xml:space="preserve">The maximum likelihood phylogeny was inferred using IQ-TREE v1.6.12 </w:t>
      </w:r>
      <w:r w:rsidR="00FF00B2">
        <w:rPr>
          <w:rFonts w:ascii="Aptos" w:hAnsi="Aptos"/>
          <w:sz w:val="20"/>
          <w:szCs w:val="20"/>
        </w:rPr>
        <w:t>(</w:t>
      </w:r>
      <w:r w:rsidR="00FF00B2" w:rsidRPr="00FF00B2">
        <w:rPr>
          <w:rFonts w:ascii="Aptos" w:hAnsi="Aptos"/>
          <w:sz w:val="20"/>
          <w:szCs w:val="20"/>
        </w:rPr>
        <w:t>Trifinopoulos</w:t>
      </w:r>
      <w:r w:rsidR="00FF00B2">
        <w:rPr>
          <w:rFonts w:ascii="Aptos" w:hAnsi="Aptos"/>
          <w:sz w:val="20"/>
          <w:szCs w:val="20"/>
        </w:rPr>
        <w:t xml:space="preserve"> et al., 2016)</w:t>
      </w:r>
      <w:r w:rsidR="00FF00B2" w:rsidRPr="00FF00B2">
        <w:rPr>
          <w:rFonts w:ascii="Aptos" w:hAnsi="Aptos"/>
          <w:sz w:val="20"/>
          <w:szCs w:val="20"/>
        </w:rPr>
        <w:t xml:space="preserve">. The substitution model best fitting the data was identified with ModelFinder </w:t>
      </w:r>
      <w:r w:rsidR="00FF00B2">
        <w:rPr>
          <w:rFonts w:ascii="Aptos" w:hAnsi="Aptos"/>
          <w:sz w:val="20"/>
          <w:szCs w:val="20"/>
        </w:rPr>
        <w:t>(</w:t>
      </w:r>
      <w:r w:rsidR="00FF00B2" w:rsidRPr="00FF00B2">
        <w:rPr>
          <w:rFonts w:ascii="Aptos" w:hAnsi="Aptos"/>
          <w:sz w:val="20"/>
          <w:szCs w:val="20"/>
        </w:rPr>
        <w:t>Kalyaanamoorthy</w:t>
      </w:r>
      <w:r w:rsidR="00FF00B2">
        <w:rPr>
          <w:rFonts w:ascii="Aptos" w:hAnsi="Aptos"/>
          <w:sz w:val="20"/>
          <w:szCs w:val="20"/>
        </w:rPr>
        <w:t xml:space="preserve"> et al., 2017)</w:t>
      </w:r>
      <w:r w:rsidR="00FF00B2" w:rsidRPr="00FF00B2">
        <w:rPr>
          <w:rFonts w:ascii="Aptos" w:hAnsi="Aptos"/>
          <w:sz w:val="20"/>
          <w:szCs w:val="20"/>
        </w:rPr>
        <w:t xml:space="preserve"> and was Blosum62+F+R8. The branch support was assessed using SH-like approximate likelihood ration test (aLRT) with 1000 replicates.</w:t>
      </w:r>
    </w:p>
    <w:p w14:paraId="1759C6CB" w14:textId="77777777" w:rsidR="00E0022F" w:rsidRPr="00F110F7" w:rsidRDefault="00E0022F" w:rsidP="00C95FB7">
      <w:pPr>
        <w:spacing w:before="120" w:after="120"/>
        <w:rPr>
          <w:rFonts w:ascii="Aptos" w:hAnsi="Aptos"/>
          <w:color w:val="0070C0"/>
        </w:rPr>
      </w:pPr>
    </w:p>
    <w:sectPr w:rsidR="00E0022F" w:rsidRPr="00F110F7" w:rsidSect="00A82FBB">
      <w:headerReference w:type="default" r:id="rId17"/>
      <w:footerReference w:type="default" r:id="rId1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ECC69" w14:textId="77777777" w:rsidR="006F2F18" w:rsidRDefault="006F2F18">
      <w:r>
        <w:separator/>
      </w:r>
    </w:p>
  </w:endnote>
  <w:endnote w:type="continuationSeparator" w:id="0">
    <w:p w14:paraId="3A983631" w14:textId="77777777" w:rsidR="006F2F18" w:rsidRDefault="006F2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00000000" w:usb1="E9DFFFFF" w:usb2="0000003F" w:usb3="00000000" w:csb0="003F01FF" w:csb1="00000000"/>
  </w:font>
  <w:font w:name="Aptos SemiBold">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772EB" w14:textId="77777777" w:rsidR="006F2F18" w:rsidRDefault="006F2F18">
      <w:r>
        <w:separator/>
      </w:r>
    </w:p>
  </w:footnote>
  <w:footnote w:type="continuationSeparator" w:id="0">
    <w:p w14:paraId="34155E4C" w14:textId="77777777" w:rsidR="006F2F18" w:rsidRDefault="006F2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4F45818"/>
    <w:multiLevelType w:val="hybridMultilevel"/>
    <w:tmpl w:val="1D8CE8F4"/>
    <w:lvl w:ilvl="0" w:tplc="6C14ACB4">
      <w:numFmt w:val="bullet"/>
      <w:lvlText w:val="-"/>
      <w:lvlJc w:val="left"/>
      <w:pPr>
        <w:ind w:left="720" w:hanging="360"/>
      </w:pPr>
      <w:rPr>
        <w:rFonts w:ascii="Aptos" w:eastAsia="Times New Roman"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5DC"/>
    <w:rsid w:val="00017BF9"/>
    <w:rsid w:val="00035A87"/>
    <w:rsid w:val="000449DB"/>
    <w:rsid w:val="00055F58"/>
    <w:rsid w:val="0008012E"/>
    <w:rsid w:val="000A146A"/>
    <w:rsid w:val="000A1FC7"/>
    <w:rsid w:val="000A7027"/>
    <w:rsid w:val="000B5D78"/>
    <w:rsid w:val="000B6878"/>
    <w:rsid w:val="000F51F4"/>
    <w:rsid w:val="000F531F"/>
    <w:rsid w:val="000F7067"/>
    <w:rsid w:val="00117C72"/>
    <w:rsid w:val="0013113D"/>
    <w:rsid w:val="001322FC"/>
    <w:rsid w:val="00171083"/>
    <w:rsid w:val="00172351"/>
    <w:rsid w:val="001776E1"/>
    <w:rsid w:val="001D3E3E"/>
    <w:rsid w:val="002200EC"/>
    <w:rsid w:val="00220334"/>
    <w:rsid w:val="00220A26"/>
    <w:rsid w:val="002312CE"/>
    <w:rsid w:val="0023149A"/>
    <w:rsid w:val="0023696B"/>
    <w:rsid w:val="0025498B"/>
    <w:rsid w:val="00273642"/>
    <w:rsid w:val="00287C4B"/>
    <w:rsid w:val="00296DA3"/>
    <w:rsid w:val="002A5A83"/>
    <w:rsid w:val="00327E73"/>
    <w:rsid w:val="003417F8"/>
    <w:rsid w:val="00355CE0"/>
    <w:rsid w:val="00363A30"/>
    <w:rsid w:val="0037243A"/>
    <w:rsid w:val="00381518"/>
    <w:rsid w:val="00382FE8"/>
    <w:rsid w:val="00383BBF"/>
    <w:rsid w:val="0038593F"/>
    <w:rsid w:val="003A166F"/>
    <w:rsid w:val="003A18C5"/>
    <w:rsid w:val="003A3EDE"/>
    <w:rsid w:val="003A5ED7"/>
    <w:rsid w:val="003A7335"/>
    <w:rsid w:val="003B3832"/>
    <w:rsid w:val="003C5428"/>
    <w:rsid w:val="00404628"/>
    <w:rsid w:val="004216B8"/>
    <w:rsid w:val="0043110C"/>
    <w:rsid w:val="00437970"/>
    <w:rsid w:val="00471256"/>
    <w:rsid w:val="004C7CCC"/>
    <w:rsid w:val="004F2F1E"/>
    <w:rsid w:val="004F3196"/>
    <w:rsid w:val="00536426"/>
    <w:rsid w:val="00543F86"/>
    <w:rsid w:val="0058465A"/>
    <w:rsid w:val="00590DF3"/>
    <w:rsid w:val="00594BBC"/>
    <w:rsid w:val="005A54C3"/>
    <w:rsid w:val="005B2DDF"/>
    <w:rsid w:val="006043FB"/>
    <w:rsid w:val="00647814"/>
    <w:rsid w:val="006615F1"/>
    <w:rsid w:val="0067795B"/>
    <w:rsid w:val="00683D0C"/>
    <w:rsid w:val="006C0F51"/>
    <w:rsid w:val="006C63E3"/>
    <w:rsid w:val="006D18F6"/>
    <w:rsid w:val="006D428E"/>
    <w:rsid w:val="006F2F18"/>
    <w:rsid w:val="006F6414"/>
    <w:rsid w:val="00723577"/>
    <w:rsid w:val="0072682D"/>
    <w:rsid w:val="007319F8"/>
    <w:rsid w:val="00736440"/>
    <w:rsid w:val="00737875"/>
    <w:rsid w:val="00740A3F"/>
    <w:rsid w:val="007B0F70"/>
    <w:rsid w:val="007B6511"/>
    <w:rsid w:val="007B7463"/>
    <w:rsid w:val="007C683C"/>
    <w:rsid w:val="007E0EF5"/>
    <w:rsid w:val="007E667B"/>
    <w:rsid w:val="00813DE9"/>
    <w:rsid w:val="00822B3A"/>
    <w:rsid w:val="00824208"/>
    <w:rsid w:val="008308A0"/>
    <w:rsid w:val="00832BEF"/>
    <w:rsid w:val="00852D43"/>
    <w:rsid w:val="00871DD1"/>
    <w:rsid w:val="00874817"/>
    <w:rsid w:val="008815EE"/>
    <w:rsid w:val="008A22E9"/>
    <w:rsid w:val="008B43B1"/>
    <w:rsid w:val="008D47FE"/>
    <w:rsid w:val="008F51E2"/>
    <w:rsid w:val="0090002D"/>
    <w:rsid w:val="00901EBC"/>
    <w:rsid w:val="00903048"/>
    <w:rsid w:val="009078FF"/>
    <w:rsid w:val="009457C8"/>
    <w:rsid w:val="0095071E"/>
    <w:rsid w:val="00953FFE"/>
    <w:rsid w:val="00964F7C"/>
    <w:rsid w:val="009703AF"/>
    <w:rsid w:val="009741D1"/>
    <w:rsid w:val="00976E37"/>
    <w:rsid w:val="0099517B"/>
    <w:rsid w:val="009A3B4A"/>
    <w:rsid w:val="009F7856"/>
    <w:rsid w:val="00A10BA1"/>
    <w:rsid w:val="00A174CC"/>
    <w:rsid w:val="00A2357C"/>
    <w:rsid w:val="00A443CA"/>
    <w:rsid w:val="00A77B8E"/>
    <w:rsid w:val="00A82FBB"/>
    <w:rsid w:val="00AA4711"/>
    <w:rsid w:val="00AC1CF1"/>
    <w:rsid w:val="00AD2884"/>
    <w:rsid w:val="00AD5A3A"/>
    <w:rsid w:val="00AD759B"/>
    <w:rsid w:val="00AE2E79"/>
    <w:rsid w:val="00AE4B54"/>
    <w:rsid w:val="00AE528C"/>
    <w:rsid w:val="00AF4998"/>
    <w:rsid w:val="00B03B7F"/>
    <w:rsid w:val="00B1187F"/>
    <w:rsid w:val="00B35CC8"/>
    <w:rsid w:val="00B42E86"/>
    <w:rsid w:val="00B47589"/>
    <w:rsid w:val="00B47C5B"/>
    <w:rsid w:val="00BD7967"/>
    <w:rsid w:val="00BE4F5A"/>
    <w:rsid w:val="00C03905"/>
    <w:rsid w:val="00C55633"/>
    <w:rsid w:val="00C66B74"/>
    <w:rsid w:val="00C7713E"/>
    <w:rsid w:val="00C95FB7"/>
    <w:rsid w:val="00CF59EA"/>
    <w:rsid w:val="00D04287"/>
    <w:rsid w:val="00D062BE"/>
    <w:rsid w:val="00D0689B"/>
    <w:rsid w:val="00D10857"/>
    <w:rsid w:val="00D13AD5"/>
    <w:rsid w:val="00D23567"/>
    <w:rsid w:val="00D4592E"/>
    <w:rsid w:val="00D46663"/>
    <w:rsid w:val="00D77E1C"/>
    <w:rsid w:val="00DC23CE"/>
    <w:rsid w:val="00DD58AA"/>
    <w:rsid w:val="00DF72A8"/>
    <w:rsid w:val="00E0022F"/>
    <w:rsid w:val="00E034BE"/>
    <w:rsid w:val="00E12F25"/>
    <w:rsid w:val="00E37077"/>
    <w:rsid w:val="00E40959"/>
    <w:rsid w:val="00E4549F"/>
    <w:rsid w:val="00E50727"/>
    <w:rsid w:val="00E66266"/>
    <w:rsid w:val="00E81144"/>
    <w:rsid w:val="00E91A52"/>
    <w:rsid w:val="00ED3BF3"/>
    <w:rsid w:val="00ED4569"/>
    <w:rsid w:val="00EE484F"/>
    <w:rsid w:val="00EF2448"/>
    <w:rsid w:val="00F07B50"/>
    <w:rsid w:val="00F110F7"/>
    <w:rsid w:val="00F3025E"/>
    <w:rsid w:val="00F711CE"/>
    <w:rsid w:val="00F74510"/>
    <w:rsid w:val="00F9028E"/>
    <w:rsid w:val="00F911F1"/>
    <w:rsid w:val="00F927FD"/>
    <w:rsid w:val="00F94778"/>
    <w:rsid w:val="00FA1DC3"/>
    <w:rsid w:val="00FE3828"/>
    <w:rsid w:val="00FF00B2"/>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D578D2"/>
  <w14:defaultImageDpi w14:val="32767"/>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ictv.global/s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1</Pages>
  <Words>2557</Words>
  <Characters>14579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29</cp:revision>
  <dcterms:created xsi:type="dcterms:W3CDTF">2024-02-13T18:56:00Z</dcterms:created>
  <dcterms:modified xsi:type="dcterms:W3CDTF">2024-07-16T07:44:00Z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