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38478" w14:textId="7855E904" w:rsidR="00C67A98" w:rsidRPr="00DA5352" w:rsidRDefault="00545A4D" w:rsidP="00F41198">
      <w:pPr>
        <w:pStyle w:val="BodyTextIndent"/>
        <w:ind w:left="2007" w:hanging="9"/>
        <w:rPr>
          <w:rFonts w:ascii="Arial" w:hAnsi="Arial" w:cs="Arial"/>
          <w:color w:val="0000FF"/>
          <w:sz w:val="22"/>
          <w:szCs w:val="22"/>
        </w:rPr>
      </w:pPr>
      <w:r>
        <w:rPr>
          <w:noProof/>
          <w:color w:val="0000FF"/>
          <w:lang w:val="en-GB"/>
        </w:rPr>
        <w:drawing>
          <wp:anchor distT="0" distB="0" distL="114300" distR="114300" simplePos="0" relativeHeight="6" behindDoc="0" locked="0" layoutInCell="1" allowOverlap="1" wp14:anchorId="49B8EC9D" wp14:editId="323A0EC8">
            <wp:simplePos x="0" y="0"/>
            <wp:positionH relativeFrom="column">
              <wp:posOffset>-85725</wp:posOffset>
            </wp:positionH>
            <wp:positionV relativeFrom="paragraph">
              <wp:posOffset>237490</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6B9DB041"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1B7FA474" w14:textId="77777777" w:rsidR="00C67A98" w:rsidRPr="00DA5352" w:rsidRDefault="00C67A98" w:rsidP="00F41198">
      <w:pPr>
        <w:ind w:left="2007"/>
        <w:rPr>
          <w:color w:val="0000FF"/>
        </w:rPr>
      </w:pPr>
    </w:p>
    <w:p w14:paraId="0AD4ACEB" w14:textId="77777777" w:rsidR="00C67A98" w:rsidRPr="00DA5352" w:rsidRDefault="00C67A98" w:rsidP="00F41198">
      <w:pPr>
        <w:pStyle w:val="BodyTextIndent"/>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1BFA5E62" w14:textId="77777777" w:rsidR="00AA1E2F" w:rsidRPr="00DA5352" w:rsidRDefault="00AA1E2F" w:rsidP="008E736E">
      <w:pPr>
        <w:pStyle w:val="BodyTextIndent"/>
        <w:ind w:left="0" w:firstLine="0"/>
        <w:rPr>
          <w:rFonts w:ascii="Arial" w:hAnsi="Arial" w:cs="Arial"/>
          <w:color w:val="0000FF"/>
          <w:sz w:val="22"/>
          <w:szCs w:val="22"/>
        </w:rPr>
      </w:pPr>
    </w:p>
    <w:p w14:paraId="6F03931D" w14:textId="77777777" w:rsidR="006D1B4E" w:rsidRDefault="006D1B4E" w:rsidP="006D1B4E">
      <w:pPr>
        <w:rPr>
          <w:rFonts w:ascii="Arial" w:hAnsi="Arial" w:cs="Arial"/>
          <w:sz w:val="22"/>
          <w:szCs w:val="22"/>
          <w:lang w:val="en-GB"/>
        </w:rPr>
      </w:pPr>
    </w:p>
    <w:p w14:paraId="772FC49B"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7E965EEC"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685EF9FD" w14:textId="77777777" w:rsidTr="00C15EC4">
        <w:tc>
          <w:tcPr>
            <w:tcW w:w="3064" w:type="dxa"/>
            <w:tcBorders>
              <w:top w:val="double" w:sz="4" w:space="0" w:color="auto"/>
              <w:left w:val="double" w:sz="4" w:space="0" w:color="auto"/>
              <w:right w:val="single" w:sz="4" w:space="0" w:color="auto"/>
            </w:tcBorders>
            <w:vAlign w:val="center"/>
          </w:tcPr>
          <w:p w14:paraId="69C4843C" w14:textId="77777777" w:rsidR="006D1B4E" w:rsidRPr="006D1B4E" w:rsidRDefault="006D1B4E" w:rsidP="00291213">
            <w:pPr>
              <w:pStyle w:val="BodyTextIndent"/>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3311DF6B" w14:textId="4DAAB9AB" w:rsidR="006D1B4E" w:rsidRPr="00C61931" w:rsidRDefault="00EB7828" w:rsidP="00EB7828">
            <w:pPr>
              <w:pStyle w:val="BodyTextIndent"/>
              <w:ind w:left="0" w:firstLine="0"/>
              <w:rPr>
                <w:rFonts w:ascii="Times New Roman" w:hAnsi="Times New Roman"/>
                <w:b/>
                <w:i/>
                <w:sz w:val="36"/>
                <w:szCs w:val="36"/>
              </w:rPr>
            </w:pPr>
            <w:r w:rsidRPr="00EB7828">
              <w:rPr>
                <w:rFonts w:ascii="Times New Roman" w:hAnsi="Times New Roman"/>
                <w:b/>
                <w:i/>
                <w:sz w:val="36"/>
                <w:szCs w:val="36"/>
              </w:rPr>
              <w:t>2017.01</w:t>
            </w:r>
            <w:r>
              <w:rPr>
                <w:rFonts w:ascii="Times New Roman" w:hAnsi="Times New Roman"/>
                <w:b/>
                <w:i/>
                <w:sz w:val="36"/>
                <w:szCs w:val="36"/>
              </w:rPr>
              <w:t>5</w:t>
            </w:r>
            <w:r w:rsidRPr="00EB7828">
              <w:rPr>
                <w:rFonts w:ascii="Times New Roman" w:hAnsi="Times New Roman"/>
                <w:b/>
                <w:i/>
                <w:sz w:val="36"/>
                <w:szCs w:val="36"/>
              </w:rPr>
              <w:t>S</w:t>
            </w:r>
          </w:p>
        </w:tc>
        <w:tc>
          <w:tcPr>
            <w:tcW w:w="3091" w:type="dxa"/>
            <w:tcBorders>
              <w:top w:val="double" w:sz="4" w:space="0" w:color="auto"/>
              <w:left w:val="single" w:sz="4" w:space="0" w:color="auto"/>
              <w:right w:val="double" w:sz="4" w:space="0" w:color="auto"/>
            </w:tcBorders>
            <w:vAlign w:val="center"/>
          </w:tcPr>
          <w:p w14:paraId="4FB4DBBE" w14:textId="77777777" w:rsidR="006D1B4E" w:rsidRPr="003E2830" w:rsidRDefault="006D1B4E" w:rsidP="00291213">
            <w:pPr>
              <w:pStyle w:val="BodyTextIndent"/>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5E883D2F" w14:textId="77777777">
        <w:tc>
          <w:tcPr>
            <w:tcW w:w="9468" w:type="dxa"/>
            <w:gridSpan w:val="6"/>
            <w:tcBorders>
              <w:left w:val="double" w:sz="4" w:space="0" w:color="auto"/>
              <w:right w:val="double" w:sz="4" w:space="0" w:color="auto"/>
            </w:tcBorders>
          </w:tcPr>
          <w:p w14:paraId="1EA94351" w14:textId="77777777" w:rsidR="00AA3952" w:rsidRPr="001E492D" w:rsidRDefault="006D1B4E" w:rsidP="00A11449">
            <w:pPr>
              <w:spacing w:before="120"/>
              <w:rPr>
                <w:b/>
              </w:rPr>
            </w:pPr>
            <w:r>
              <w:rPr>
                <w:b/>
              </w:rPr>
              <w:t>Short title:</w:t>
            </w:r>
            <w:r w:rsidR="00AA3952">
              <w:rPr>
                <w:b/>
              </w:rPr>
              <w:t xml:space="preserve"> </w:t>
            </w:r>
            <w:r w:rsidR="00A11449">
              <w:rPr>
                <w:rFonts w:ascii="Arial" w:hAnsi="Arial" w:cs="Arial"/>
                <w:color w:val="0000FF"/>
                <w:sz w:val="20"/>
              </w:rPr>
              <w:t xml:space="preserve">Reorganization and expansion of the order </w:t>
            </w:r>
            <w:r w:rsidR="00A11449" w:rsidRPr="00A11449">
              <w:rPr>
                <w:rFonts w:ascii="Arial" w:hAnsi="Arial" w:cs="Arial"/>
                <w:i/>
                <w:color w:val="0000FF"/>
                <w:sz w:val="20"/>
              </w:rPr>
              <w:t>Nidovirales</w:t>
            </w:r>
            <w:r w:rsidR="00C632ED">
              <w:rPr>
                <w:rFonts w:ascii="Arial" w:hAnsi="Arial" w:cs="Arial"/>
                <w:i/>
                <w:color w:val="0000FF"/>
                <w:sz w:val="20"/>
              </w:rPr>
              <w:t xml:space="preserve"> </w:t>
            </w:r>
            <w:r w:rsidR="00C632ED" w:rsidRPr="00E07CD0">
              <w:rPr>
                <w:rFonts w:ascii="Arial" w:hAnsi="Arial" w:cs="Arial"/>
                <w:color w:val="0000FF"/>
                <w:sz w:val="20"/>
              </w:rPr>
              <w:t>at the family and sub-order ranks</w:t>
            </w:r>
          </w:p>
        </w:tc>
      </w:tr>
      <w:tr w:rsidR="00210B49" w:rsidRPr="001E492D" w14:paraId="0DF75351" w14:textId="77777777" w:rsidTr="00C15EC4">
        <w:tc>
          <w:tcPr>
            <w:tcW w:w="4458" w:type="dxa"/>
            <w:gridSpan w:val="2"/>
            <w:tcBorders>
              <w:left w:val="double" w:sz="4" w:space="0" w:color="auto"/>
              <w:bottom w:val="double" w:sz="4" w:space="0" w:color="auto"/>
              <w:right w:val="single" w:sz="4" w:space="0" w:color="auto"/>
            </w:tcBorders>
            <w:vAlign w:val="center"/>
          </w:tcPr>
          <w:p w14:paraId="2BA02E35" w14:textId="77777777" w:rsidR="00210B49" w:rsidRDefault="00210B49" w:rsidP="009845DD">
            <w:pPr>
              <w:rPr>
                <w:b/>
              </w:rPr>
            </w:pPr>
            <w:r>
              <w:rPr>
                <w:b/>
              </w:rPr>
              <w:t xml:space="preserve">Modules attached </w:t>
            </w:r>
          </w:p>
          <w:p w14:paraId="3B1983F1"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5CE7827A"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38855890"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A11449">
              <w:rPr>
                <w:b/>
              </w:rPr>
              <w:fldChar w:fldCharType="begin">
                <w:ffData>
                  <w:name w:val=""/>
                  <w:enabled/>
                  <w:calcOnExit w:val="0"/>
                  <w:checkBox>
                    <w:sizeAuto/>
                    <w:default w:val="1"/>
                  </w:checkBox>
                </w:ffData>
              </w:fldChar>
            </w:r>
            <w:r w:rsidR="00A11449">
              <w:rPr>
                <w:b/>
              </w:rPr>
              <w:instrText xml:space="preserve"> FORMCHECKBOX </w:instrText>
            </w:r>
            <w:r w:rsidR="00BD60A4">
              <w:rPr>
                <w:b/>
              </w:rPr>
            </w:r>
            <w:r w:rsidR="00BD60A4">
              <w:rPr>
                <w:b/>
              </w:rPr>
              <w:fldChar w:fldCharType="separate"/>
            </w:r>
            <w:r w:rsidR="00A11449">
              <w:rPr>
                <w:b/>
              </w:rPr>
              <w:fldChar w:fldCharType="end"/>
            </w:r>
            <w:r w:rsidR="00C67A98">
              <w:rPr>
                <w:b/>
              </w:rPr>
              <w:t xml:space="preserve">       </w:t>
            </w:r>
            <w:bookmarkEnd w:id="0"/>
            <w:r w:rsidR="00C67A98">
              <w:rPr>
                <w:b/>
              </w:rPr>
              <w:t xml:space="preserve"> </w:t>
            </w:r>
            <w:r w:rsidR="004B5D02">
              <w:rPr>
                <w:b/>
              </w:rPr>
              <w:t>2</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BD60A4">
              <w:rPr>
                <w:b/>
              </w:rPr>
            </w:r>
            <w:r w:rsidR="00BD60A4">
              <w:rPr>
                <w:b/>
              </w:rPr>
              <w:fldChar w:fldCharType="separate"/>
            </w:r>
            <w:r w:rsidR="00A11449">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BD60A4">
              <w:rPr>
                <w:b/>
              </w:rPr>
            </w:r>
            <w:r w:rsidR="00BD60A4">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A11449">
              <w:rPr>
                <w:b/>
              </w:rPr>
              <w:fldChar w:fldCharType="begin">
                <w:ffData>
                  <w:name w:val=""/>
                  <w:enabled/>
                  <w:calcOnExit w:val="0"/>
                  <w:checkBox>
                    <w:sizeAuto/>
                    <w:default w:val="1"/>
                  </w:checkBox>
                </w:ffData>
              </w:fldChar>
            </w:r>
            <w:r w:rsidR="00A11449">
              <w:rPr>
                <w:b/>
              </w:rPr>
              <w:instrText xml:space="preserve"> FORMCHECKBOX </w:instrText>
            </w:r>
            <w:r w:rsidR="00BD60A4">
              <w:rPr>
                <w:b/>
              </w:rPr>
            </w:r>
            <w:r w:rsidR="00BD60A4">
              <w:rPr>
                <w:b/>
              </w:rPr>
              <w:fldChar w:fldCharType="separate"/>
            </w:r>
            <w:r w:rsidR="00A11449">
              <w:rPr>
                <w:b/>
              </w:rPr>
              <w:fldChar w:fldCharType="end"/>
            </w:r>
            <w:r>
              <w:rPr>
                <w:b/>
              </w:rPr>
              <w:t xml:space="preserve">       </w:t>
            </w:r>
          </w:p>
          <w:p w14:paraId="6EA368C6" w14:textId="77777777" w:rsidR="00210B49" w:rsidRDefault="00210B49" w:rsidP="004B5D02">
            <w:pPr>
              <w:rPr>
                <w:b/>
              </w:rPr>
            </w:pPr>
            <w:r>
              <w:rPr>
                <w:b/>
              </w:rPr>
              <w:t xml:space="preserve">  </w:t>
            </w:r>
          </w:p>
        </w:tc>
      </w:tr>
      <w:tr w:rsidR="00636B14" w:rsidRPr="001E492D" w14:paraId="20C38955" w14:textId="77777777">
        <w:tc>
          <w:tcPr>
            <w:tcW w:w="9468" w:type="dxa"/>
            <w:gridSpan w:val="6"/>
          </w:tcPr>
          <w:p w14:paraId="644406BE" w14:textId="77777777" w:rsidR="00636B14" w:rsidRPr="001E492D" w:rsidRDefault="00636B14" w:rsidP="00CE5ECF">
            <w:pPr>
              <w:spacing w:before="120" w:after="120"/>
              <w:rPr>
                <w:b/>
              </w:rPr>
            </w:pPr>
            <w:r>
              <w:rPr>
                <w:b/>
              </w:rPr>
              <w:t>Author</w:t>
            </w:r>
            <w:r w:rsidRPr="001E492D">
              <w:rPr>
                <w:b/>
              </w:rPr>
              <w:t>(s):</w:t>
            </w:r>
          </w:p>
        </w:tc>
      </w:tr>
      <w:tr w:rsidR="00636B14" w:rsidRPr="001E492D" w14:paraId="329FD695" w14:textId="77777777">
        <w:tc>
          <w:tcPr>
            <w:tcW w:w="9468" w:type="dxa"/>
            <w:gridSpan w:val="6"/>
            <w:tcBorders>
              <w:top w:val="single" w:sz="4" w:space="0" w:color="auto"/>
              <w:left w:val="single" w:sz="4" w:space="0" w:color="auto"/>
              <w:bottom w:val="single" w:sz="4" w:space="0" w:color="auto"/>
              <w:right w:val="single" w:sz="4" w:space="0" w:color="auto"/>
            </w:tcBorders>
          </w:tcPr>
          <w:p w14:paraId="08784159" w14:textId="1E30D5F7" w:rsidR="00A11449" w:rsidRDefault="00A11449" w:rsidP="00A11449">
            <w:pPr>
              <w:pStyle w:val="BodyTextIndent"/>
              <w:rPr>
                <w:rFonts w:ascii="Times New Roman" w:hAnsi="Times New Roman"/>
                <w:color w:val="000000"/>
              </w:rPr>
            </w:pPr>
            <w:r w:rsidRPr="00A11449">
              <w:rPr>
                <w:rFonts w:ascii="Times New Roman" w:hAnsi="Times New Roman"/>
                <w:color w:val="000000"/>
              </w:rPr>
              <w:t xml:space="preserve">A.E. Gorbalenya, </w:t>
            </w:r>
            <w:r>
              <w:rPr>
                <w:rFonts w:ascii="Times New Roman" w:hAnsi="Times New Roman"/>
                <w:color w:val="000000"/>
              </w:rPr>
              <w:t xml:space="preserve">Chair of the </w:t>
            </w:r>
            <w:r w:rsidRPr="00BD60A4">
              <w:rPr>
                <w:rFonts w:ascii="Times New Roman" w:hAnsi="Times New Roman"/>
                <w:i/>
                <w:color w:val="000000"/>
              </w:rPr>
              <w:t>Nidovir</w:t>
            </w:r>
            <w:r w:rsidR="00BD60A4" w:rsidRPr="00BD60A4">
              <w:rPr>
                <w:rFonts w:ascii="Times New Roman" w:hAnsi="Times New Roman"/>
                <w:i/>
                <w:color w:val="000000"/>
              </w:rPr>
              <w:t>ales</w:t>
            </w:r>
            <w:r w:rsidRPr="00A11449">
              <w:rPr>
                <w:rFonts w:ascii="Times New Roman" w:hAnsi="Times New Roman"/>
                <w:color w:val="000000"/>
              </w:rPr>
              <w:t xml:space="preserve"> </w:t>
            </w:r>
            <w:r>
              <w:rPr>
                <w:rFonts w:ascii="Times New Roman" w:hAnsi="Times New Roman"/>
                <w:color w:val="000000"/>
              </w:rPr>
              <w:t xml:space="preserve">&amp; </w:t>
            </w:r>
            <w:r w:rsidRPr="00BD60A4">
              <w:rPr>
                <w:rFonts w:ascii="Times New Roman" w:hAnsi="Times New Roman"/>
                <w:i/>
                <w:color w:val="000000"/>
              </w:rPr>
              <w:t>Mesonivir</w:t>
            </w:r>
            <w:r w:rsidR="00BD60A4" w:rsidRPr="00BD60A4">
              <w:rPr>
                <w:rFonts w:ascii="Times New Roman" w:hAnsi="Times New Roman"/>
                <w:i/>
                <w:color w:val="000000"/>
              </w:rPr>
              <w:t>idae</w:t>
            </w:r>
            <w:r>
              <w:rPr>
                <w:rFonts w:ascii="Times New Roman" w:hAnsi="Times New Roman"/>
                <w:color w:val="000000"/>
              </w:rPr>
              <w:t xml:space="preserve"> </w:t>
            </w:r>
            <w:r w:rsidRPr="00A11449">
              <w:rPr>
                <w:rFonts w:ascii="Times New Roman" w:hAnsi="Times New Roman"/>
                <w:color w:val="000000"/>
              </w:rPr>
              <w:t>Study Group</w:t>
            </w:r>
            <w:r>
              <w:rPr>
                <w:rFonts w:ascii="Times New Roman" w:hAnsi="Times New Roman"/>
                <w:color w:val="000000"/>
              </w:rPr>
              <w:t>s</w:t>
            </w:r>
          </w:p>
          <w:p w14:paraId="086FA10B" w14:textId="58FEE739" w:rsidR="00A11449" w:rsidRPr="00A11449" w:rsidRDefault="00A11449" w:rsidP="00A11449">
            <w:pPr>
              <w:pStyle w:val="BodyTextIndent"/>
              <w:rPr>
                <w:rFonts w:ascii="Times New Roman" w:hAnsi="Times New Roman"/>
                <w:color w:val="000000"/>
              </w:rPr>
            </w:pPr>
            <w:r w:rsidRPr="00A11449">
              <w:rPr>
                <w:rFonts w:ascii="Times New Roman" w:hAnsi="Times New Roman"/>
                <w:color w:val="000000"/>
              </w:rPr>
              <w:t xml:space="preserve">M.A. Brinton, </w:t>
            </w:r>
            <w:r>
              <w:rPr>
                <w:rFonts w:ascii="Times New Roman" w:hAnsi="Times New Roman"/>
                <w:color w:val="000000"/>
              </w:rPr>
              <w:t>Membe</w:t>
            </w:r>
            <w:r w:rsidRPr="00A11449">
              <w:rPr>
                <w:rFonts w:ascii="Times New Roman" w:hAnsi="Times New Roman"/>
                <w:color w:val="000000"/>
              </w:rPr>
              <w:t>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BD60A4" w:rsidRPr="00A11449">
              <w:rPr>
                <w:rFonts w:ascii="Times New Roman" w:hAnsi="Times New Roman"/>
                <w:color w:val="000000"/>
              </w:rPr>
              <w:t xml:space="preserve"> </w:t>
            </w:r>
            <w:r w:rsidR="00C632ED">
              <w:rPr>
                <w:rFonts w:ascii="Times New Roman" w:hAnsi="Times New Roman"/>
                <w:color w:val="000000"/>
              </w:rPr>
              <w:t>SG</w:t>
            </w:r>
            <w:r>
              <w:rPr>
                <w:rFonts w:ascii="Times New Roman" w:hAnsi="Times New Roman"/>
                <w:color w:val="000000"/>
              </w:rPr>
              <w:t xml:space="preserve">; Chair of the </w:t>
            </w:r>
            <w:r w:rsidRPr="00BD60A4">
              <w:rPr>
                <w:rFonts w:ascii="Times New Roman" w:hAnsi="Times New Roman"/>
                <w:i/>
                <w:color w:val="000000"/>
              </w:rPr>
              <w:t>Arterivir</w:t>
            </w:r>
            <w:r w:rsidR="00BD60A4" w:rsidRPr="00BD60A4">
              <w:rPr>
                <w:rFonts w:ascii="Times New Roman" w:hAnsi="Times New Roman"/>
                <w:i/>
                <w:color w:val="000000"/>
              </w:rPr>
              <w:t>idae</w:t>
            </w:r>
            <w:r>
              <w:rPr>
                <w:rFonts w:ascii="Times New Roman" w:hAnsi="Times New Roman"/>
                <w:color w:val="000000"/>
              </w:rPr>
              <w:t xml:space="preserve"> Study Group</w:t>
            </w:r>
          </w:p>
          <w:p w14:paraId="3D81CED4" w14:textId="35FA09EF" w:rsidR="00A11449" w:rsidRDefault="00A11449" w:rsidP="00A11449">
            <w:pPr>
              <w:pStyle w:val="BodyTextIndent"/>
              <w:ind w:left="0" w:firstLine="0"/>
              <w:rPr>
                <w:rFonts w:ascii="Times New Roman" w:hAnsi="Times New Roman"/>
                <w:color w:val="000000"/>
              </w:rPr>
            </w:pPr>
            <w:r>
              <w:rPr>
                <w:rFonts w:ascii="Times New Roman" w:hAnsi="Times New Roman"/>
                <w:color w:val="000000"/>
              </w:rPr>
              <w:t>J. Cowley, Member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C632ED">
              <w:rPr>
                <w:rFonts w:ascii="Times New Roman" w:hAnsi="Times New Roman"/>
                <w:color w:val="000000"/>
              </w:rPr>
              <w:t xml:space="preserve"> SG</w:t>
            </w:r>
            <w:r>
              <w:rPr>
                <w:rFonts w:ascii="Times New Roman" w:hAnsi="Times New Roman"/>
                <w:color w:val="000000"/>
              </w:rPr>
              <w:t xml:space="preserve">; Chair of the </w:t>
            </w:r>
            <w:r w:rsidRPr="00BD60A4">
              <w:rPr>
                <w:rFonts w:ascii="Times New Roman" w:hAnsi="Times New Roman"/>
                <w:i/>
                <w:color w:val="000000"/>
              </w:rPr>
              <w:t>Ronivir</w:t>
            </w:r>
            <w:r w:rsidR="00BD60A4" w:rsidRPr="00BD60A4">
              <w:rPr>
                <w:rFonts w:ascii="Times New Roman" w:hAnsi="Times New Roman"/>
                <w:i/>
                <w:color w:val="000000"/>
              </w:rPr>
              <w:t>idae</w:t>
            </w:r>
            <w:r>
              <w:rPr>
                <w:rFonts w:ascii="Times New Roman" w:hAnsi="Times New Roman"/>
                <w:color w:val="000000"/>
              </w:rPr>
              <w:t xml:space="preserve"> Study Group</w:t>
            </w:r>
          </w:p>
          <w:p w14:paraId="37E87ED2" w14:textId="30277750" w:rsidR="00A11449" w:rsidRDefault="00A11449" w:rsidP="00A11449">
            <w:pPr>
              <w:pStyle w:val="BodyTextIndent"/>
              <w:ind w:left="0" w:firstLine="0"/>
              <w:rPr>
                <w:rFonts w:ascii="Times New Roman" w:hAnsi="Times New Roman"/>
                <w:color w:val="000000"/>
              </w:rPr>
            </w:pPr>
            <w:r>
              <w:rPr>
                <w:rFonts w:ascii="Times New Roman" w:hAnsi="Times New Roman"/>
                <w:color w:val="000000"/>
              </w:rPr>
              <w:t>R. de Groot, Member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C632ED">
              <w:rPr>
                <w:rFonts w:ascii="Times New Roman" w:hAnsi="Times New Roman"/>
                <w:color w:val="000000"/>
              </w:rPr>
              <w:t xml:space="preserve">, </w:t>
            </w:r>
            <w:r w:rsidR="00BD60A4" w:rsidRPr="00BD60A4">
              <w:rPr>
                <w:rFonts w:ascii="Times New Roman" w:hAnsi="Times New Roman"/>
                <w:i/>
                <w:color w:val="000000"/>
              </w:rPr>
              <w:t>Coronaviridae</w:t>
            </w:r>
            <w:r w:rsidR="00BD60A4">
              <w:rPr>
                <w:rFonts w:ascii="Times New Roman" w:hAnsi="Times New Roman"/>
                <w:color w:val="000000"/>
              </w:rPr>
              <w:t xml:space="preserve"> </w:t>
            </w:r>
            <w:bookmarkStart w:id="1" w:name="_GoBack"/>
            <w:bookmarkEnd w:id="1"/>
            <w:r w:rsidR="00C632ED">
              <w:rPr>
                <w:rFonts w:ascii="Times New Roman" w:hAnsi="Times New Roman"/>
                <w:color w:val="000000"/>
              </w:rPr>
              <w:t xml:space="preserve">&amp; </w:t>
            </w:r>
            <w:r w:rsidR="00BD60A4" w:rsidRPr="00BD60A4">
              <w:rPr>
                <w:rFonts w:ascii="Times New Roman" w:hAnsi="Times New Roman"/>
                <w:i/>
                <w:color w:val="000000"/>
              </w:rPr>
              <w:t>Roniviridae</w:t>
            </w:r>
            <w:r w:rsidR="00C632ED">
              <w:rPr>
                <w:rFonts w:ascii="Times New Roman" w:hAnsi="Times New Roman"/>
                <w:color w:val="000000"/>
              </w:rPr>
              <w:t xml:space="preserve"> Study Groups</w:t>
            </w:r>
          </w:p>
          <w:p w14:paraId="6D561607" w14:textId="77777777" w:rsidR="00A11449" w:rsidRDefault="00A11449" w:rsidP="00A11449">
            <w:pPr>
              <w:pStyle w:val="BodyTextIndent"/>
              <w:ind w:left="0" w:firstLine="0"/>
              <w:rPr>
                <w:rFonts w:ascii="Times New Roman" w:hAnsi="Times New Roman"/>
                <w:color w:val="000000"/>
              </w:rPr>
            </w:pPr>
            <w:r w:rsidRPr="00A11449">
              <w:rPr>
                <w:rFonts w:ascii="Times New Roman" w:hAnsi="Times New Roman"/>
                <w:color w:val="000000"/>
              </w:rPr>
              <w:t>A. Gulyaeva</w:t>
            </w:r>
            <w:r>
              <w:rPr>
                <w:rFonts w:ascii="Times New Roman" w:hAnsi="Times New Roman"/>
                <w:color w:val="000000"/>
              </w:rPr>
              <w:t xml:space="preserve">, </w:t>
            </w:r>
            <w:r w:rsidRPr="00A11449">
              <w:rPr>
                <w:rFonts w:ascii="Times New Roman" w:hAnsi="Times New Roman"/>
                <w:color w:val="000000"/>
              </w:rPr>
              <w:t>Non-member</w:t>
            </w:r>
          </w:p>
          <w:p w14:paraId="1A97FF49" w14:textId="11B747F9" w:rsidR="00A11449" w:rsidRDefault="00A11449" w:rsidP="00A11449">
            <w:pPr>
              <w:pStyle w:val="BodyTextIndent"/>
              <w:ind w:left="0" w:firstLine="0"/>
              <w:rPr>
                <w:rFonts w:ascii="Times New Roman" w:hAnsi="Times New Roman"/>
                <w:color w:val="000000"/>
              </w:rPr>
            </w:pPr>
            <w:r>
              <w:rPr>
                <w:rFonts w:ascii="Times New Roman" w:hAnsi="Times New Roman"/>
                <w:color w:val="000000"/>
              </w:rPr>
              <w:t>C. Lauber, Member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166712">
              <w:rPr>
                <w:rFonts w:ascii="Times New Roman" w:hAnsi="Times New Roman"/>
                <w:color w:val="000000"/>
              </w:rPr>
              <w:t xml:space="preserve"> &amp; </w:t>
            </w:r>
            <w:r w:rsidR="00166712" w:rsidRPr="00BD60A4">
              <w:rPr>
                <w:rFonts w:ascii="Times New Roman" w:hAnsi="Times New Roman"/>
                <w:i/>
                <w:color w:val="000000"/>
              </w:rPr>
              <w:t>Polyomavir</w:t>
            </w:r>
            <w:r w:rsidR="00BD60A4" w:rsidRPr="00BD60A4">
              <w:rPr>
                <w:rFonts w:ascii="Times New Roman" w:hAnsi="Times New Roman"/>
                <w:i/>
                <w:color w:val="000000"/>
              </w:rPr>
              <w:t>idae</w:t>
            </w:r>
            <w:r w:rsidR="00C632ED">
              <w:rPr>
                <w:rFonts w:ascii="Times New Roman" w:hAnsi="Times New Roman"/>
                <w:color w:val="000000"/>
              </w:rPr>
              <w:t xml:space="preserve"> SG</w:t>
            </w:r>
          </w:p>
          <w:p w14:paraId="542946FF" w14:textId="36538E70" w:rsidR="00A11449" w:rsidRDefault="00A11449" w:rsidP="00A11449">
            <w:pPr>
              <w:pStyle w:val="BodyTextIndent"/>
              <w:ind w:left="0" w:firstLine="0"/>
              <w:rPr>
                <w:rFonts w:ascii="Times New Roman" w:hAnsi="Times New Roman"/>
                <w:color w:val="000000"/>
              </w:rPr>
            </w:pPr>
            <w:r>
              <w:rPr>
                <w:rFonts w:ascii="Times New Roman" w:hAnsi="Times New Roman"/>
                <w:color w:val="000000"/>
              </w:rPr>
              <w:t xml:space="preserve">B. </w:t>
            </w:r>
            <w:r w:rsidR="00C641FC">
              <w:rPr>
                <w:rFonts w:ascii="Times New Roman" w:hAnsi="Times New Roman"/>
                <w:color w:val="000000"/>
              </w:rPr>
              <w:t>Neuman</w:t>
            </w:r>
            <w:r>
              <w:rPr>
                <w:rFonts w:ascii="Times New Roman" w:hAnsi="Times New Roman"/>
                <w:color w:val="000000"/>
              </w:rPr>
              <w:t>, Member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C632ED">
              <w:rPr>
                <w:rFonts w:ascii="Times New Roman" w:hAnsi="Times New Roman"/>
                <w:color w:val="000000"/>
              </w:rPr>
              <w:t xml:space="preserve"> &amp; </w:t>
            </w:r>
            <w:r w:rsidR="00C632ED" w:rsidRPr="00BD60A4">
              <w:rPr>
                <w:rFonts w:ascii="Times New Roman" w:hAnsi="Times New Roman"/>
                <w:i/>
                <w:color w:val="000000"/>
              </w:rPr>
              <w:t>Coronavir</w:t>
            </w:r>
            <w:r w:rsidR="00BD60A4" w:rsidRPr="00BD60A4">
              <w:rPr>
                <w:rFonts w:ascii="Times New Roman" w:hAnsi="Times New Roman"/>
                <w:i/>
                <w:color w:val="000000"/>
              </w:rPr>
              <w:t>idae</w:t>
            </w:r>
            <w:r w:rsidR="00C632ED">
              <w:rPr>
                <w:rFonts w:ascii="Times New Roman" w:hAnsi="Times New Roman"/>
                <w:color w:val="000000"/>
              </w:rPr>
              <w:t xml:space="preserve"> Study Groups</w:t>
            </w:r>
          </w:p>
          <w:p w14:paraId="4E95764F" w14:textId="30601F67" w:rsidR="00A11449" w:rsidRDefault="00A11449" w:rsidP="00A11449">
            <w:pPr>
              <w:pStyle w:val="BodyTextIndent"/>
              <w:ind w:left="0" w:firstLine="0"/>
              <w:rPr>
                <w:rFonts w:ascii="Times New Roman" w:hAnsi="Times New Roman"/>
                <w:color w:val="000000"/>
              </w:rPr>
            </w:pPr>
            <w:r>
              <w:rPr>
                <w:rFonts w:ascii="Times New Roman" w:hAnsi="Times New Roman"/>
                <w:color w:val="000000"/>
              </w:rPr>
              <w:t>J. Ziebuhr, Member</w:t>
            </w:r>
            <w:r w:rsidR="00C632ED">
              <w:rPr>
                <w:rFonts w:ascii="Times New Roman" w:hAnsi="Times New Roman"/>
                <w:color w:val="000000"/>
              </w:rPr>
              <w:t xml:space="preserve"> of the </w:t>
            </w:r>
            <w:r w:rsidR="00BD60A4" w:rsidRPr="00BD60A4">
              <w:rPr>
                <w:rFonts w:ascii="Times New Roman" w:hAnsi="Times New Roman"/>
                <w:i/>
                <w:color w:val="000000"/>
              </w:rPr>
              <w:t>Nidovirales</w:t>
            </w:r>
            <w:r w:rsidR="00C632ED">
              <w:rPr>
                <w:rFonts w:ascii="Times New Roman" w:hAnsi="Times New Roman"/>
                <w:color w:val="000000"/>
              </w:rPr>
              <w:t xml:space="preserve"> &amp; </w:t>
            </w:r>
            <w:r w:rsidR="00BD60A4" w:rsidRPr="00BD60A4">
              <w:rPr>
                <w:rFonts w:ascii="Times New Roman" w:hAnsi="Times New Roman"/>
                <w:i/>
                <w:color w:val="000000"/>
              </w:rPr>
              <w:t>Mesoniviridae</w:t>
            </w:r>
            <w:r w:rsidR="00BD60A4">
              <w:rPr>
                <w:rFonts w:ascii="Times New Roman" w:hAnsi="Times New Roman"/>
                <w:color w:val="000000"/>
              </w:rPr>
              <w:t xml:space="preserve"> </w:t>
            </w:r>
            <w:r w:rsidR="00C632ED">
              <w:rPr>
                <w:rFonts w:ascii="Times New Roman" w:hAnsi="Times New Roman"/>
                <w:color w:val="000000"/>
              </w:rPr>
              <w:t>SGs</w:t>
            </w:r>
            <w:r>
              <w:rPr>
                <w:rFonts w:ascii="Times New Roman" w:hAnsi="Times New Roman"/>
                <w:color w:val="000000"/>
              </w:rPr>
              <w:t xml:space="preserve">; Chair of the </w:t>
            </w:r>
            <w:r w:rsidR="00BD60A4" w:rsidRPr="00BD60A4">
              <w:rPr>
                <w:rFonts w:ascii="Times New Roman" w:hAnsi="Times New Roman"/>
                <w:i/>
                <w:color w:val="000000"/>
              </w:rPr>
              <w:t>Coronaviridae</w:t>
            </w:r>
            <w:r w:rsidR="00BD60A4">
              <w:rPr>
                <w:rFonts w:ascii="Times New Roman" w:hAnsi="Times New Roman"/>
                <w:color w:val="000000"/>
              </w:rPr>
              <w:t xml:space="preserve"> </w:t>
            </w:r>
            <w:r w:rsidR="00C632ED">
              <w:rPr>
                <w:rFonts w:ascii="Times New Roman" w:hAnsi="Times New Roman"/>
                <w:color w:val="000000"/>
              </w:rPr>
              <w:t>SG</w:t>
            </w:r>
          </w:p>
          <w:p w14:paraId="56E88E16" w14:textId="77777777" w:rsidR="00A11449" w:rsidRPr="00C61931" w:rsidRDefault="00A11449" w:rsidP="00A11449">
            <w:pPr>
              <w:pStyle w:val="BodyTextIndent"/>
              <w:ind w:left="0" w:firstLine="0"/>
              <w:rPr>
                <w:rFonts w:ascii="Times New Roman" w:hAnsi="Times New Roman"/>
                <w:color w:val="000000"/>
              </w:rPr>
            </w:pPr>
          </w:p>
        </w:tc>
      </w:tr>
      <w:tr w:rsidR="00CE5ECF" w:rsidRPr="001E492D" w14:paraId="1807F315" w14:textId="77777777" w:rsidTr="003B1954">
        <w:tc>
          <w:tcPr>
            <w:tcW w:w="9468" w:type="dxa"/>
            <w:gridSpan w:val="6"/>
          </w:tcPr>
          <w:p w14:paraId="38F7DDE2"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54BBB153"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04052727" w14:textId="77777777" w:rsidR="00CE5ECF" w:rsidRPr="00C61931" w:rsidRDefault="008C397F" w:rsidP="008C397F">
            <w:pPr>
              <w:pStyle w:val="BodyTextIndent"/>
              <w:rPr>
                <w:rFonts w:ascii="Times New Roman" w:hAnsi="Times New Roman"/>
                <w:color w:val="000000"/>
              </w:rPr>
            </w:pPr>
            <w:r w:rsidRPr="008C397F">
              <w:rPr>
                <w:rFonts w:ascii="Times New Roman" w:hAnsi="Times New Roman"/>
                <w:color w:val="000000"/>
              </w:rPr>
              <w:t>Alexander E. Gorbalenya (A.E.Gorbalenya@lumc.nl)</w:t>
            </w:r>
          </w:p>
        </w:tc>
      </w:tr>
      <w:tr w:rsidR="00D1634C" w14:paraId="5BA26730" w14:textId="77777777">
        <w:tc>
          <w:tcPr>
            <w:tcW w:w="9468" w:type="dxa"/>
            <w:gridSpan w:val="6"/>
          </w:tcPr>
          <w:p w14:paraId="3F8E92CC"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1B55EC6C"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005D766E" w14:textId="77777777" w:rsidR="00D1634C" w:rsidRDefault="00C15EC4" w:rsidP="00295698">
            <w:pPr>
              <w:pStyle w:val="BodyTextIndent"/>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8"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1C951335" w14:textId="1E2EA229" w:rsidR="00A11449" w:rsidRDefault="008C397F" w:rsidP="00A11449">
            <w:pPr>
              <w:jc w:val="both"/>
            </w:pPr>
            <w:r>
              <w:t xml:space="preserve">This proposal is filed by the </w:t>
            </w:r>
            <w:r w:rsidRPr="00BD60A4">
              <w:rPr>
                <w:b/>
                <w:i/>
              </w:rPr>
              <w:t>Nidovir</w:t>
            </w:r>
            <w:r w:rsidR="00BD60A4" w:rsidRPr="00BD60A4">
              <w:rPr>
                <w:b/>
                <w:i/>
              </w:rPr>
              <w:t>ale</w:t>
            </w:r>
            <w:r w:rsidRPr="00BD60A4">
              <w:rPr>
                <w:b/>
                <w:i/>
              </w:rPr>
              <w:t>s</w:t>
            </w:r>
            <w:r w:rsidRPr="00C632ED">
              <w:rPr>
                <w:b/>
              </w:rPr>
              <w:t xml:space="preserve"> Study Group</w:t>
            </w:r>
            <w:r w:rsidRPr="00A11449">
              <w:t xml:space="preserve"> </w:t>
            </w:r>
            <w:r>
              <w:t xml:space="preserve">in consultation with: </w:t>
            </w:r>
            <w:r w:rsidR="00A11449" w:rsidRPr="00BD60A4">
              <w:rPr>
                <w:i/>
              </w:rPr>
              <w:t>Arterivir</w:t>
            </w:r>
            <w:r w:rsidR="00BD60A4" w:rsidRPr="00BD60A4">
              <w:rPr>
                <w:i/>
              </w:rPr>
              <w:t>idae</w:t>
            </w:r>
            <w:r w:rsidR="00A11449" w:rsidRPr="00A11449">
              <w:t xml:space="preserve"> Study Group</w:t>
            </w:r>
          </w:p>
          <w:p w14:paraId="1E0EA968" w14:textId="385EAAFA" w:rsidR="00A11449" w:rsidRDefault="00A11449" w:rsidP="00A11449">
            <w:pPr>
              <w:jc w:val="both"/>
            </w:pPr>
            <w:r w:rsidRPr="00BD60A4">
              <w:rPr>
                <w:i/>
              </w:rPr>
              <w:t>Coronavir</w:t>
            </w:r>
            <w:r w:rsidR="00BD60A4" w:rsidRPr="00BD60A4">
              <w:rPr>
                <w:i/>
              </w:rPr>
              <w:t>idae</w:t>
            </w:r>
            <w:r>
              <w:t xml:space="preserve"> Study Group</w:t>
            </w:r>
          </w:p>
          <w:p w14:paraId="3385B1C8" w14:textId="7D83DB74" w:rsidR="00A11449" w:rsidRDefault="00A11449" w:rsidP="00A11449">
            <w:pPr>
              <w:jc w:val="both"/>
            </w:pPr>
            <w:r w:rsidRPr="00BD60A4">
              <w:rPr>
                <w:i/>
              </w:rPr>
              <w:t>Mesonivir</w:t>
            </w:r>
            <w:r w:rsidR="00BD60A4" w:rsidRPr="00BD60A4">
              <w:rPr>
                <w:i/>
              </w:rPr>
              <w:t>idae</w:t>
            </w:r>
            <w:r>
              <w:t xml:space="preserve"> Study Group</w:t>
            </w:r>
          </w:p>
          <w:p w14:paraId="079C898F" w14:textId="35F00809" w:rsidR="00D1634C" w:rsidRPr="006355CD" w:rsidRDefault="00A11449" w:rsidP="00BD60A4">
            <w:pPr>
              <w:jc w:val="both"/>
            </w:pPr>
            <w:r w:rsidRPr="00BD60A4">
              <w:rPr>
                <w:i/>
              </w:rPr>
              <w:t>Ronivir</w:t>
            </w:r>
            <w:r w:rsidR="00BD60A4" w:rsidRPr="00BD60A4">
              <w:rPr>
                <w:i/>
              </w:rPr>
              <w:t>idae</w:t>
            </w:r>
            <w:r>
              <w:t xml:space="preserve"> Study Group</w:t>
            </w:r>
          </w:p>
        </w:tc>
      </w:tr>
      <w:tr w:rsidR="00AA3952" w:rsidRPr="001E492D" w14:paraId="39B908B6" w14:textId="77777777">
        <w:trPr>
          <w:tblHeader/>
        </w:trPr>
        <w:tc>
          <w:tcPr>
            <w:tcW w:w="9468" w:type="dxa"/>
            <w:gridSpan w:val="6"/>
          </w:tcPr>
          <w:p w14:paraId="4A5BAAEC"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4F8E9635" w14:textId="77777777">
        <w:trPr>
          <w:trHeight w:val="270"/>
        </w:trPr>
        <w:tc>
          <w:tcPr>
            <w:tcW w:w="9468" w:type="dxa"/>
            <w:gridSpan w:val="6"/>
            <w:tcBorders>
              <w:top w:val="single" w:sz="4" w:space="0" w:color="auto"/>
              <w:bottom w:val="single" w:sz="4" w:space="0" w:color="auto"/>
            </w:tcBorders>
          </w:tcPr>
          <w:p w14:paraId="0A8FF3F4" w14:textId="77777777" w:rsidR="00AA3952" w:rsidRPr="00AA3952" w:rsidRDefault="00D1634C" w:rsidP="00291213">
            <w:pPr>
              <w:pStyle w:val="BodyTextIndent"/>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2B8C2540" w14:textId="77777777">
        <w:trPr>
          <w:trHeight w:val="270"/>
        </w:trPr>
        <w:tc>
          <w:tcPr>
            <w:tcW w:w="9468" w:type="dxa"/>
            <w:gridSpan w:val="6"/>
            <w:tcBorders>
              <w:top w:val="single" w:sz="4" w:space="0" w:color="auto"/>
            </w:tcBorders>
          </w:tcPr>
          <w:p w14:paraId="2C253C6E" w14:textId="77777777" w:rsidR="00422FF0" w:rsidRDefault="00422FF0" w:rsidP="00291213">
            <w:pPr>
              <w:pStyle w:val="BodyTextIndent"/>
              <w:ind w:left="0" w:firstLine="0"/>
              <w:rPr>
                <w:rFonts w:ascii="Times New Roman" w:hAnsi="Times New Roman"/>
                <w:color w:val="000000"/>
              </w:rPr>
            </w:pPr>
          </w:p>
        </w:tc>
      </w:tr>
      <w:tr w:rsidR="00422FF0" w:rsidRPr="001E492D" w14:paraId="39FF75EF" w14:textId="77777777" w:rsidTr="00C15EC4">
        <w:trPr>
          <w:trHeight w:val="270"/>
        </w:trPr>
        <w:tc>
          <w:tcPr>
            <w:tcW w:w="5786" w:type="dxa"/>
            <w:gridSpan w:val="4"/>
          </w:tcPr>
          <w:p w14:paraId="3A7DC132" w14:textId="77777777" w:rsidR="00422FF0" w:rsidRPr="00377A06" w:rsidRDefault="00422FF0" w:rsidP="00291213">
            <w:pPr>
              <w:pStyle w:val="BodyTextIndent"/>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056976CE" w14:textId="77777777" w:rsidR="00422FF0" w:rsidRDefault="008C397F" w:rsidP="008B0C66">
            <w:pPr>
              <w:pStyle w:val="BodyTextIndent"/>
              <w:ind w:left="0" w:firstLine="0"/>
              <w:rPr>
                <w:rFonts w:ascii="Times New Roman" w:hAnsi="Times New Roman"/>
                <w:color w:val="000000"/>
              </w:rPr>
            </w:pPr>
            <w:r>
              <w:rPr>
                <w:rFonts w:ascii="Times New Roman" w:hAnsi="Times New Roman"/>
                <w:color w:val="000000"/>
              </w:rPr>
              <w:t>2</w:t>
            </w:r>
            <w:r w:rsidR="008B0C66">
              <w:rPr>
                <w:rFonts w:ascii="Times New Roman" w:hAnsi="Times New Roman"/>
                <w:color w:val="000000"/>
              </w:rPr>
              <w:t>3</w:t>
            </w:r>
            <w:r>
              <w:rPr>
                <w:rFonts w:ascii="Times New Roman" w:hAnsi="Times New Roman"/>
                <w:color w:val="000000"/>
              </w:rPr>
              <w:t>.06.2017</w:t>
            </w:r>
          </w:p>
        </w:tc>
      </w:tr>
      <w:tr w:rsidR="00422FF0" w:rsidRPr="001E492D" w14:paraId="51346C5F" w14:textId="77777777" w:rsidTr="00C15EC4">
        <w:trPr>
          <w:trHeight w:val="270"/>
        </w:trPr>
        <w:tc>
          <w:tcPr>
            <w:tcW w:w="5786" w:type="dxa"/>
            <w:gridSpan w:val="4"/>
            <w:tcBorders>
              <w:bottom w:val="single" w:sz="4" w:space="0" w:color="auto"/>
            </w:tcBorders>
          </w:tcPr>
          <w:p w14:paraId="3573BA12" w14:textId="77777777" w:rsidR="00422FF0" w:rsidRDefault="00422FF0"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02E32692" w14:textId="77777777" w:rsidR="00075DC2" w:rsidRDefault="00075DC2" w:rsidP="00291213">
            <w:pPr>
              <w:pStyle w:val="BodyTextIndent"/>
              <w:ind w:left="0" w:firstLine="0"/>
              <w:rPr>
                <w:rFonts w:ascii="Times New Roman" w:hAnsi="Times New Roman"/>
              </w:rPr>
            </w:pPr>
            <w:r w:rsidRPr="00377A06">
              <w:rPr>
                <w:rFonts w:ascii="Times New Roman" w:hAnsi="Times New Roman"/>
              </w:rPr>
              <w:t>Date of this revision (if different to above):</w:t>
            </w:r>
          </w:p>
          <w:p w14:paraId="185C150A" w14:textId="7519E11B" w:rsidR="006355CD" w:rsidRPr="00377A06" w:rsidRDefault="006355CD" w:rsidP="00291213">
            <w:pPr>
              <w:pStyle w:val="BodyTextIndent"/>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33B6269F" w14:textId="77777777" w:rsidR="00422FF0" w:rsidRDefault="00C641FC" w:rsidP="00291213">
            <w:pPr>
              <w:pStyle w:val="BodyTextIndent"/>
              <w:ind w:left="0" w:firstLine="0"/>
              <w:rPr>
                <w:rFonts w:ascii="Times New Roman" w:hAnsi="Times New Roman"/>
                <w:color w:val="000000"/>
              </w:rPr>
            </w:pPr>
            <w:r>
              <w:rPr>
                <w:rFonts w:ascii="Times New Roman" w:hAnsi="Times New Roman"/>
                <w:color w:val="000000"/>
              </w:rPr>
              <w:t>12.07.2017</w:t>
            </w:r>
          </w:p>
          <w:p w14:paraId="003EC39E" w14:textId="77777777" w:rsidR="00075DC2" w:rsidRDefault="001D081C" w:rsidP="001D081C">
            <w:pPr>
              <w:pStyle w:val="BodyTextIndent"/>
              <w:ind w:left="0" w:firstLine="0"/>
              <w:rPr>
                <w:rFonts w:ascii="Times New Roman" w:hAnsi="Times New Roman"/>
                <w:color w:val="000000"/>
              </w:rPr>
            </w:pPr>
            <w:r>
              <w:rPr>
                <w:rFonts w:ascii="Times New Roman" w:hAnsi="Times New Roman"/>
                <w:color w:val="000000"/>
              </w:rPr>
              <w:t>17</w:t>
            </w:r>
            <w:r w:rsidR="00075DC2">
              <w:rPr>
                <w:rFonts w:ascii="Times New Roman" w:hAnsi="Times New Roman"/>
                <w:color w:val="000000"/>
              </w:rPr>
              <w:t>.11.2017</w:t>
            </w:r>
          </w:p>
          <w:p w14:paraId="1F9FD17D" w14:textId="7CDDC902" w:rsidR="006355CD" w:rsidRDefault="006355CD" w:rsidP="001D081C">
            <w:pPr>
              <w:pStyle w:val="BodyTextIndent"/>
              <w:ind w:left="0" w:firstLine="0"/>
              <w:rPr>
                <w:rFonts w:ascii="Times New Roman" w:hAnsi="Times New Roman"/>
                <w:color w:val="000000"/>
              </w:rPr>
            </w:pPr>
            <w:r>
              <w:rPr>
                <w:rFonts w:ascii="Times New Roman" w:hAnsi="Times New Roman"/>
                <w:color w:val="000000"/>
              </w:rPr>
              <w:t>08.08.2018</w:t>
            </w:r>
          </w:p>
        </w:tc>
      </w:tr>
    </w:tbl>
    <w:p w14:paraId="632E48AF" w14:textId="77777777" w:rsidR="008E736E" w:rsidRDefault="008E736E" w:rsidP="00AA3952">
      <w:pPr>
        <w:pStyle w:val="BodyTextIndent"/>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09AA4BA5" w14:textId="77777777" w:rsidTr="003B1954">
        <w:tc>
          <w:tcPr>
            <w:tcW w:w="9468" w:type="dxa"/>
          </w:tcPr>
          <w:p w14:paraId="01A7490E"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4D7B4513" w14:textId="77777777" w:rsidTr="003B1954">
        <w:tc>
          <w:tcPr>
            <w:tcW w:w="9468" w:type="dxa"/>
            <w:tcBorders>
              <w:top w:val="single" w:sz="4" w:space="0" w:color="auto"/>
              <w:left w:val="single" w:sz="4" w:space="0" w:color="auto"/>
              <w:bottom w:val="single" w:sz="4" w:space="0" w:color="auto"/>
              <w:right w:val="single" w:sz="4" w:space="0" w:color="auto"/>
            </w:tcBorders>
          </w:tcPr>
          <w:p w14:paraId="637549D6" w14:textId="4536F7B2" w:rsidR="00CE5ECF" w:rsidRDefault="00175789" w:rsidP="001D081C">
            <w:pPr>
              <w:pStyle w:val="BodyTextIndent"/>
              <w:ind w:left="0" w:firstLine="0"/>
              <w:jc w:val="both"/>
              <w:rPr>
                <w:rFonts w:ascii="Times New Roman" w:eastAsia="Times New Roman" w:hAnsi="Times New Roman"/>
                <w:szCs w:val="24"/>
                <w:lang w:eastAsia="en-US"/>
              </w:rPr>
            </w:pPr>
            <w:r>
              <w:rPr>
                <w:rFonts w:ascii="Times New Roman" w:eastAsia="Times New Roman" w:hAnsi="Times New Roman"/>
                <w:b/>
                <w:szCs w:val="24"/>
                <w:lang w:eastAsia="en-US"/>
              </w:rPr>
              <w:t>The proposer (17</w:t>
            </w:r>
            <w:r w:rsidR="006355CD" w:rsidRPr="006355CD">
              <w:rPr>
                <w:rFonts w:ascii="Times New Roman" w:eastAsia="Times New Roman" w:hAnsi="Times New Roman"/>
                <w:b/>
                <w:szCs w:val="24"/>
                <w:lang w:eastAsia="en-US"/>
              </w:rPr>
              <w:t>.11.2017)</w:t>
            </w:r>
            <w:r w:rsidR="006355CD" w:rsidRPr="006355CD">
              <w:rPr>
                <w:rFonts w:ascii="Times New Roman" w:eastAsia="Times New Roman" w:hAnsi="Times New Roman"/>
                <w:szCs w:val="24"/>
                <w:lang w:eastAsia="en-US"/>
              </w:rPr>
              <w:t xml:space="preserve">: </w:t>
            </w:r>
            <w:r w:rsidR="001D081C" w:rsidRPr="001D081C">
              <w:rPr>
                <w:rFonts w:ascii="Times New Roman" w:eastAsia="Times New Roman" w:hAnsi="Times New Roman"/>
                <w:szCs w:val="24"/>
                <w:lang w:eastAsia="en-US"/>
              </w:rPr>
              <w:t xml:space="preserve">Numerous changes were introduced during two revisions, prior and after the EC meeting in Singapore. They concerned different aspects of the presentation and several corrections of inaccuracies. They did not revise the major results and conclusions of this </w:t>
            </w:r>
            <w:r w:rsidR="001D081C" w:rsidRPr="001D081C">
              <w:rPr>
                <w:rFonts w:ascii="Times New Roman" w:eastAsia="Times New Roman" w:hAnsi="Times New Roman"/>
                <w:szCs w:val="24"/>
                <w:lang w:eastAsia="en-US"/>
              </w:rPr>
              <w:lastRenderedPageBreak/>
              <w:t xml:space="preserve">proposal. </w:t>
            </w:r>
            <w:r w:rsidR="00AA4A8A" w:rsidRPr="00AA4A8A">
              <w:rPr>
                <w:rFonts w:ascii="Times New Roman" w:eastAsia="Times New Roman" w:hAnsi="Times New Roman"/>
                <w:szCs w:val="24"/>
                <w:lang w:eastAsia="en-US"/>
              </w:rPr>
              <w:t xml:space="preserve">They included: text refining; improved labelling of trees; summary of demarcation </w:t>
            </w:r>
            <w:r w:rsidR="00AA4A8A">
              <w:rPr>
                <w:rFonts w:ascii="Times New Roman" w:eastAsia="Times New Roman" w:hAnsi="Times New Roman"/>
                <w:szCs w:val="24"/>
                <w:lang w:eastAsia="en-US"/>
              </w:rPr>
              <w:t>criteria in Table</w:t>
            </w:r>
            <w:r w:rsidR="00AA4A8A" w:rsidRPr="00AA4A8A">
              <w:rPr>
                <w:rFonts w:ascii="Times New Roman" w:eastAsia="Times New Roman" w:hAnsi="Times New Roman"/>
                <w:szCs w:val="24"/>
                <w:lang w:eastAsia="en-US"/>
              </w:rPr>
              <w:t xml:space="preserve"> 1; extension of Figure 2 with genome and domain organization of viruses of three extra </w:t>
            </w:r>
            <w:r w:rsidR="00AA4A8A">
              <w:rPr>
                <w:rFonts w:ascii="Times New Roman" w:eastAsia="Times New Roman" w:hAnsi="Times New Roman"/>
                <w:szCs w:val="24"/>
                <w:lang w:eastAsia="en-US"/>
              </w:rPr>
              <w:t>major groups. Name</w:t>
            </w:r>
            <w:r w:rsidR="00AA4A8A" w:rsidRPr="00AA4A8A">
              <w:rPr>
                <w:rFonts w:ascii="Times New Roman" w:eastAsia="Times New Roman" w:hAnsi="Times New Roman"/>
                <w:szCs w:val="24"/>
                <w:lang w:eastAsia="en-US"/>
              </w:rPr>
              <w:t xml:space="preserve"> of </w:t>
            </w:r>
            <w:r w:rsidR="00AA4A8A">
              <w:rPr>
                <w:rFonts w:ascii="Times New Roman" w:eastAsia="Times New Roman" w:hAnsi="Times New Roman"/>
                <w:szCs w:val="24"/>
                <w:lang w:eastAsia="en-US"/>
              </w:rPr>
              <w:t xml:space="preserve">one suborder was slightly modified from </w:t>
            </w:r>
            <w:r w:rsidR="00AA4A8A" w:rsidRPr="00AA4A8A">
              <w:rPr>
                <w:rFonts w:ascii="Times New Roman" w:eastAsia="Times New Roman" w:hAnsi="Times New Roman"/>
                <w:szCs w:val="24"/>
                <w:lang w:val="en" w:eastAsia="en-US"/>
              </w:rPr>
              <w:t>"</w:t>
            </w:r>
            <w:r w:rsidR="00AA4A8A" w:rsidRPr="001D081C">
              <w:rPr>
                <w:rFonts w:ascii="Times New Roman" w:eastAsia="Times New Roman" w:hAnsi="Times New Roman"/>
                <w:i/>
                <w:szCs w:val="24"/>
                <w:lang w:val="en" w:eastAsia="en-US"/>
              </w:rPr>
              <w:t>Menidovirineae</w:t>
            </w:r>
            <w:r w:rsidR="00AA4A8A" w:rsidRPr="00AA4A8A">
              <w:rPr>
                <w:rFonts w:ascii="Times New Roman" w:eastAsia="Times New Roman" w:hAnsi="Times New Roman"/>
                <w:szCs w:val="24"/>
                <w:lang w:val="en" w:eastAsia="en-US"/>
              </w:rPr>
              <w:t>"</w:t>
            </w:r>
            <w:r w:rsidR="00AA4A8A">
              <w:rPr>
                <w:rFonts w:ascii="Times New Roman" w:eastAsia="Times New Roman" w:hAnsi="Times New Roman"/>
                <w:szCs w:val="24"/>
                <w:lang w:val="en" w:eastAsia="en-US"/>
              </w:rPr>
              <w:t xml:space="preserve"> </w:t>
            </w:r>
            <w:r w:rsidR="00AA4A8A">
              <w:rPr>
                <w:rFonts w:ascii="Times New Roman" w:eastAsia="Times New Roman" w:hAnsi="Times New Roman"/>
                <w:szCs w:val="24"/>
                <w:lang w:eastAsia="en-US"/>
              </w:rPr>
              <w:t xml:space="preserve">to </w:t>
            </w:r>
            <w:r w:rsidR="00AA4A8A" w:rsidRPr="00AA4A8A">
              <w:rPr>
                <w:rFonts w:ascii="Times New Roman" w:eastAsia="Times New Roman" w:hAnsi="Times New Roman"/>
                <w:szCs w:val="24"/>
                <w:lang w:val="en" w:eastAsia="en-US"/>
              </w:rPr>
              <w:t>"</w:t>
            </w:r>
            <w:r w:rsidR="00AA4A8A" w:rsidRPr="001D081C">
              <w:rPr>
                <w:rFonts w:ascii="Times New Roman" w:eastAsia="Times New Roman" w:hAnsi="Times New Roman"/>
                <w:i/>
                <w:szCs w:val="24"/>
                <w:lang w:val="en" w:eastAsia="en-US"/>
              </w:rPr>
              <w:t>Me</w:t>
            </w:r>
            <w:r w:rsidR="00AA4A8A" w:rsidRPr="001D081C">
              <w:rPr>
                <w:rFonts w:ascii="Times New Roman" w:eastAsia="Times New Roman" w:hAnsi="Times New Roman"/>
                <w:b/>
                <w:i/>
                <w:color w:val="FF0000"/>
                <w:szCs w:val="24"/>
                <w:lang w:val="en" w:eastAsia="en-US"/>
              </w:rPr>
              <w:t>s</w:t>
            </w:r>
            <w:r w:rsidR="00AA4A8A" w:rsidRPr="001D081C">
              <w:rPr>
                <w:rFonts w:ascii="Times New Roman" w:eastAsia="Times New Roman" w:hAnsi="Times New Roman"/>
                <w:i/>
                <w:szCs w:val="24"/>
                <w:lang w:val="en" w:eastAsia="en-US"/>
              </w:rPr>
              <w:t>nidovirineae</w:t>
            </w:r>
            <w:r w:rsidR="001D081C">
              <w:rPr>
                <w:rFonts w:ascii="Times New Roman" w:eastAsia="Times New Roman" w:hAnsi="Times New Roman"/>
                <w:szCs w:val="24"/>
                <w:lang w:val="en" w:eastAsia="en-US"/>
              </w:rPr>
              <w:t>”</w:t>
            </w:r>
            <w:r w:rsidR="00AA4A8A" w:rsidRPr="00AA4A8A">
              <w:rPr>
                <w:rFonts w:ascii="Times New Roman" w:eastAsia="Times New Roman" w:hAnsi="Times New Roman"/>
                <w:szCs w:val="24"/>
                <w:lang w:eastAsia="en-US"/>
              </w:rPr>
              <w:t xml:space="preserve">. </w:t>
            </w:r>
            <w:r w:rsidR="001D081C" w:rsidRPr="001D081C">
              <w:rPr>
                <w:rFonts w:ascii="Times New Roman" w:eastAsia="Times New Roman" w:hAnsi="Times New Roman"/>
                <w:szCs w:val="24"/>
                <w:lang w:eastAsia="en-US"/>
              </w:rPr>
              <w:t>We would like to stress that we expect the proposed taxonomy structure to provide a framework for the rationalization of the molecular and biological properties of viruses in these two families, which, in many cases, remain to be determined and, therefore, cannot be used to evaluate the validity of the proposed structure.</w:t>
            </w:r>
          </w:p>
          <w:p w14:paraId="6524BD33" w14:textId="4A6DBE1B" w:rsidR="006355CD" w:rsidRPr="00C61931" w:rsidRDefault="006355CD" w:rsidP="00175789">
            <w:pPr>
              <w:pStyle w:val="BodyTextIndent"/>
              <w:ind w:left="0" w:firstLine="0"/>
              <w:jc w:val="both"/>
              <w:rPr>
                <w:rFonts w:ascii="Times New Roman" w:hAnsi="Times New Roman"/>
                <w:color w:val="000000"/>
              </w:rPr>
            </w:pPr>
            <w:r w:rsidRPr="006355CD">
              <w:rPr>
                <w:rFonts w:ascii="Times New Roman" w:eastAsia="Times New Roman" w:hAnsi="Times New Roman"/>
                <w:b/>
                <w:szCs w:val="24"/>
                <w:lang w:eastAsia="en-US"/>
              </w:rPr>
              <w:t>The proposer (08.08.2018</w:t>
            </w:r>
            <w:r>
              <w:rPr>
                <w:rFonts w:ascii="Times New Roman" w:eastAsia="Times New Roman" w:hAnsi="Times New Roman"/>
                <w:b/>
                <w:szCs w:val="24"/>
                <w:lang w:eastAsia="en-US"/>
              </w:rPr>
              <w:t>)</w:t>
            </w:r>
            <w:r w:rsidRPr="006355CD">
              <w:rPr>
                <w:rFonts w:ascii="Times New Roman" w:eastAsia="Times New Roman" w:hAnsi="Times New Roman"/>
                <w:szCs w:val="24"/>
                <w:lang w:eastAsia="en-US"/>
              </w:rPr>
              <w:t xml:space="preserve">: </w:t>
            </w:r>
            <w:r w:rsidR="00E26C7E" w:rsidRPr="00E26C7E">
              <w:rPr>
                <w:rFonts w:ascii="Times New Roman" w:eastAsia="Times New Roman" w:hAnsi="Times New Roman"/>
                <w:szCs w:val="24"/>
                <w:lang w:eastAsia="en-US"/>
              </w:rPr>
              <w:t>Fig. 1 has been updated to reflect genus reassignment of an arterivirus species</w:t>
            </w:r>
            <w:r w:rsidR="00175789">
              <w:rPr>
                <w:rFonts w:ascii="Times New Roman" w:eastAsia="Times New Roman" w:hAnsi="Times New Roman"/>
                <w:szCs w:val="24"/>
                <w:lang w:eastAsia="en-US"/>
              </w:rPr>
              <w:t>.</w:t>
            </w:r>
            <w:r>
              <w:rPr>
                <w:rFonts w:ascii="Times New Roman" w:eastAsia="Times New Roman" w:hAnsi="Times New Roman"/>
                <w:szCs w:val="24"/>
                <w:lang w:eastAsia="en-US"/>
              </w:rPr>
              <w:t xml:space="preserve"> </w:t>
            </w:r>
            <w:r w:rsidR="00175789">
              <w:rPr>
                <w:rFonts w:ascii="Times New Roman" w:eastAsia="Times New Roman" w:hAnsi="Times New Roman"/>
                <w:szCs w:val="24"/>
                <w:lang w:eastAsia="en-US"/>
              </w:rPr>
              <w:t>T</w:t>
            </w:r>
            <w:r>
              <w:rPr>
                <w:rFonts w:ascii="Times New Roman" w:eastAsia="Times New Roman" w:hAnsi="Times New Roman"/>
                <w:szCs w:val="24"/>
                <w:lang w:eastAsia="en-US"/>
              </w:rPr>
              <w:t xml:space="preserve">he name of </w:t>
            </w:r>
            <w:r w:rsidR="00E26C7E">
              <w:rPr>
                <w:rFonts w:ascii="Times New Roman" w:eastAsia="Times New Roman" w:hAnsi="Times New Roman"/>
                <w:szCs w:val="24"/>
                <w:lang w:eastAsia="en-US"/>
              </w:rPr>
              <w:t xml:space="preserve">the </w:t>
            </w:r>
            <w:r>
              <w:rPr>
                <w:rFonts w:ascii="Times New Roman" w:eastAsia="Times New Roman" w:hAnsi="Times New Roman"/>
                <w:szCs w:val="24"/>
                <w:lang w:eastAsia="en-US"/>
              </w:rPr>
              <w:t>accompanying spreadsheet has been updated.</w:t>
            </w:r>
          </w:p>
        </w:tc>
      </w:tr>
    </w:tbl>
    <w:p w14:paraId="18C66D65" w14:textId="77777777" w:rsidR="004B5D02" w:rsidRDefault="004B5D02" w:rsidP="009E036E">
      <w:pPr>
        <w:pStyle w:val="BodyTextIndent"/>
        <w:ind w:left="0" w:firstLine="0"/>
        <w:rPr>
          <w:rFonts w:ascii="Times New Roman" w:hAnsi="Times New Roman"/>
          <w:color w:val="000000"/>
          <w:sz w:val="22"/>
          <w:szCs w:val="22"/>
        </w:rPr>
      </w:pPr>
    </w:p>
    <w:p w14:paraId="0F5F73E4"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483EA3BF" w14:textId="77777777" w:rsidTr="007C2E61">
        <w:tc>
          <w:tcPr>
            <w:tcW w:w="9468" w:type="dxa"/>
            <w:tcBorders>
              <w:top w:val="nil"/>
              <w:left w:val="nil"/>
              <w:right w:val="nil"/>
            </w:tcBorders>
            <w:vAlign w:val="center"/>
          </w:tcPr>
          <w:p w14:paraId="5BEDAE25" w14:textId="77777777" w:rsidR="004937AC" w:rsidRPr="00DD00F3" w:rsidRDefault="004937AC" w:rsidP="00D2300C">
            <w:pPr>
              <w:pStyle w:val="BodyTextIndent"/>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376D5E0D"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261CBC37" w14:textId="43203D42" w:rsidR="007D6DB6" w:rsidRPr="001E492D" w:rsidRDefault="007D6DB6" w:rsidP="008E3F06">
            <w:pPr>
              <w:spacing w:before="120"/>
              <w:rPr>
                <w:b/>
              </w:rPr>
            </w:pPr>
            <w:r>
              <w:rPr>
                <w:b/>
              </w:rPr>
              <w:t>Name of accompanying spreadsheet:</w:t>
            </w:r>
            <w:r w:rsidR="00182E70" w:rsidRPr="00182E70">
              <w:t xml:space="preserve"> </w:t>
            </w:r>
            <w:r w:rsidR="001D081C">
              <w:t>2017.012-015S.</w:t>
            </w:r>
            <w:r w:rsidR="008E3F06">
              <w:t>A</w:t>
            </w:r>
            <w:r w:rsidR="001D081C">
              <w:t>.v</w:t>
            </w:r>
            <w:r w:rsidR="006355CD">
              <w:t>4</w:t>
            </w:r>
            <w:r w:rsidR="00EB7828" w:rsidRPr="00EB7828">
              <w:t>.Nidovirales</w:t>
            </w:r>
          </w:p>
        </w:tc>
      </w:tr>
    </w:tbl>
    <w:p w14:paraId="79BDEAEA" w14:textId="77777777" w:rsidR="004B5D02" w:rsidRPr="003B7125" w:rsidRDefault="004B5D02" w:rsidP="00D2300C">
      <w:pPr>
        <w:pStyle w:val="BodyTextIndent"/>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05EA1D2E" w14:textId="77777777" w:rsidR="004937AC" w:rsidRDefault="004937AC" w:rsidP="00926A4D">
      <w:pPr>
        <w:pStyle w:val="BodyTextIndent"/>
        <w:ind w:left="0" w:firstLine="0"/>
        <w:rPr>
          <w:rFonts w:ascii="Times New Roman" w:hAnsi="Times New Roman"/>
          <w:color w:val="000000"/>
          <w:sz w:val="22"/>
          <w:szCs w:val="22"/>
        </w:rPr>
      </w:pPr>
    </w:p>
    <w:p w14:paraId="016E1F18" w14:textId="40865BE4" w:rsidR="004937AC" w:rsidRDefault="00B14EC4"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This and t</w:t>
      </w:r>
      <w:r w:rsidR="00727159">
        <w:rPr>
          <w:rFonts w:ascii="Times New Roman" w:hAnsi="Times New Roman"/>
          <w:color w:val="000000"/>
          <w:sz w:val="22"/>
          <w:szCs w:val="22"/>
        </w:rPr>
        <w:t>hree</w:t>
      </w:r>
      <w:r>
        <w:rPr>
          <w:rFonts w:ascii="Times New Roman" w:hAnsi="Times New Roman"/>
          <w:color w:val="000000"/>
          <w:sz w:val="22"/>
          <w:szCs w:val="22"/>
        </w:rPr>
        <w:t xml:space="preserve"> accompanying proposals are based on a study of genomic diversity of viruses of the </w:t>
      </w:r>
      <w:r w:rsidRPr="00B14EC4">
        <w:rPr>
          <w:rFonts w:ascii="Times New Roman" w:hAnsi="Times New Roman"/>
          <w:i/>
          <w:color w:val="000000"/>
          <w:sz w:val="22"/>
          <w:szCs w:val="22"/>
        </w:rPr>
        <w:t>Nidovirales</w:t>
      </w:r>
      <w:r>
        <w:rPr>
          <w:rFonts w:ascii="Times New Roman" w:hAnsi="Times New Roman"/>
          <w:color w:val="000000"/>
          <w:sz w:val="22"/>
          <w:szCs w:val="22"/>
        </w:rPr>
        <w:t xml:space="preserve"> order and related unclassified viruses that was conducted by Gorbalenya’s group and whose results were presented at the International Symposium Nido2017 (</w:t>
      </w:r>
      <w:r w:rsidR="006C1134">
        <w:rPr>
          <w:rFonts w:ascii="Times New Roman" w:hAnsi="Times New Roman"/>
          <w:color w:val="000000"/>
          <w:sz w:val="22"/>
          <w:szCs w:val="22"/>
        </w:rPr>
        <w:t>1</w:t>
      </w:r>
      <w:r>
        <w:rPr>
          <w:rFonts w:ascii="Times New Roman" w:hAnsi="Times New Roman"/>
          <w:color w:val="000000"/>
          <w:sz w:val="22"/>
          <w:szCs w:val="22"/>
        </w:rPr>
        <w:t xml:space="preserve">). Implications of this study to the taxonomy of nidoviruses were discussed at a joint meeting of </w:t>
      </w:r>
      <w:r w:rsidR="00F937C6">
        <w:rPr>
          <w:rFonts w:ascii="Times New Roman" w:hAnsi="Times New Roman"/>
          <w:color w:val="000000"/>
          <w:sz w:val="22"/>
          <w:szCs w:val="22"/>
        </w:rPr>
        <w:t xml:space="preserve">chairs and </w:t>
      </w:r>
      <w:r>
        <w:rPr>
          <w:rFonts w:ascii="Times New Roman" w:hAnsi="Times New Roman"/>
          <w:color w:val="000000"/>
          <w:sz w:val="22"/>
          <w:szCs w:val="22"/>
        </w:rPr>
        <w:t xml:space="preserve">members of five SGs concerned with </w:t>
      </w:r>
      <w:r w:rsidR="00D47AC6">
        <w:rPr>
          <w:rFonts w:ascii="Times New Roman" w:hAnsi="Times New Roman"/>
          <w:color w:val="000000"/>
          <w:sz w:val="22"/>
          <w:szCs w:val="22"/>
        </w:rPr>
        <w:t xml:space="preserve">either all </w:t>
      </w:r>
      <w:r>
        <w:rPr>
          <w:rFonts w:ascii="Times New Roman" w:hAnsi="Times New Roman"/>
          <w:color w:val="000000"/>
          <w:sz w:val="22"/>
          <w:szCs w:val="22"/>
        </w:rPr>
        <w:t xml:space="preserve">nidoviruses </w:t>
      </w:r>
      <w:r w:rsidR="00D47AC6">
        <w:rPr>
          <w:rFonts w:ascii="Times New Roman" w:hAnsi="Times New Roman"/>
          <w:color w:val="000000"/>
          <w:sz w:val="22"/>
          <w:szCs w:val="22"/>
        </w:rPr>
        <w:t>or its different subsets</w:t>
      </w:r>
      <w:r>
        <w:rPr>
          <w:rFonts w:ascii="Times New Roman" w:hAnsi="Times New Roman"/>
          <w:color w:val="000000"/>
          <w:sz w:val="22"/>
          <w:szCs w:val="22"/>
        </w:rPr>
        <w:t xml:space="preserve">. </w:t>
      </w:r>
      <w:r w:rsidR="00D47AC6">
        <w:rPr>
          <w:rFonts w:ascii="Times New Roman" w:hAnsi="Times New Roman"/>
          <w:color w:val="000000"/>
          <w:sz w:val="22"/>
          <w:szCs w:val="22"/>
        </w:rPr>
        <w:t>All attende</w:t>
      </w:r>
      <w:r w:rsidR="002208A6">
        <w:rPr>
          <w:rFonts w:ascii="Times New Roman" w:hAnsi="Times New Roman"/>
          <w:color w:val="000000"/>
          <w:sz w:val="22"/>
          <w:szCs w:val="22"/>
        </w:rPr>
        <w:t>es</w:t>
      </w:r>
      <w:r w:rsidR="00D47AC6">
        <w:rPr>
          <w:rFonts w:ascii="Times New Roman" w:hAnsi="Times New Roman"/>
          <w:color w:val="000000"/>
          <w:sz w:val="22"/>
          <w:szCs w:val="22"/>
        </w:rPr>
        <w:t xml:space="preserve"> were in favor of </w:t>
      </w:r>
      <w:r w:rsidR="00C65CC1">
        <w:rPr>
          <w:rFonts w:ascii="Times New Roman" w:hAnsi="Times New Roman"/>
          <w:color w:val="000000"/>
          <w:sz w:val="22"/>
          <w:szCs w:val="22"/>
        </w:rPr>
        <w:t>advancing</w:t>
      </w:r>
      <w:r w:rsidR="00D47AC6">
        <w:rPr>
          <w:rFonts w:ascii="Times New Roman" w:hAnsi="Times New Roman"/>
          <w:color w:val="000000"/>
          <w:sz w:val="22"/>
          <w:szCs w:val="22"/>
        </w:rPr>
        <w:t xml:space="preserve"> the nidovirus taxonomy according to recommendations of this study, and a summary of this meeting was presented </w:t>
      </w:r>
      <w:r w:rsidR="001353E3">
        <w:rPr>
          <w:rFonts w:ascii="Times New Roman" w:hAnsi="Times New Roman"/>
          <w:color w:val="000000"/>
          <w:sz w:val="22"/>
          <w:szCs w:val="22"/>
        </w:rPr>
        <w:t xml:space="preserve">at the </w:t>
      </w:r>
      <w:r w:rsidR="00D47AC6">
        <w:rPr>
          <w:rFonts w:ascii="Times New Roman" w:hAnsi="Times New Roman"/>
          <w:color w:val="000000"/>
          <w:sz w:val="22"/>
          <w:szCs w:val="22"/>
        </w:rPr>
        <w:t>Symposium.</w:t>
      </w:r>
      <w:r>
        <w:rPr>
          <w:rFonts w:ascii="Times New Roman" w:hAnsi="Times New Roman"/>
          <w:color w:val="000000"/>
          <w:sz w:val="22"/>
          <w:szCs w:val="22"/>
        </w:rPr>
        <w:t xml:space="preserve"> </w:t>
      </w:r>
    </w:p>
    <w:p w14:paraId="78AB83BA" w14:textId="77777777" w:rsidR="00D47AC6" w:rsidRDefault="00D47AC6" w:rsidP="00926A4D">
      <w:pPr>
        <w:pStyle w:val="BodyTextIndent"/>
        <w:ind w:left="0" w:firstLine="0"/>
        <w:rPr>
          <w:rFonts w:ascii="Times New Roman" w:hAnsi="Times New Roman"/>
          <w:color w:val="000000"/>
          <w:sz w:val="22"/>
          <w:szCs w:val="22"/>
        </w:rPr>
      </w:pPr>
    </w:p>
    <w:p w14:paraId="66E9769F" w14:textId="74CE3247" w:rsidR="00D47AC6" w:rsidRDefault="001656AF"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 xml:space="preserve">This proposal deals with extensive changes at the family </w:t>
      </w:r>
      <w:r w:rsidR="00727159">
        <w:rPr>
          <w:rFonts w:ascii="Times New Roman" w:hAnsi="Times New Roman"/>
          <w:color w:val="000000"/>
          <w:sz w:val="22"/>
          <w:szCs w:val="22"/>
        </w:rPr>
        <w:t>rank</w:t>
      </w:r>
      <w:r>
        <w:rPr>
          <w:rFonts w:ascii="Times New Roman" w:hAnsi="Times New Roman"/>
          <w:color w:val="000000"/>
          <w:sz w:val="22"/>
          <w:szCs w:val="22"/>
        </w:rPr>
        <w:t xml:space="preserve"> and </w:t>
      </w:r>
      <w:r w:rsidR="00727159">
        <w:rPr>
          <w:rFonts w:ascii="Times New Roman" w:hAnsi="Times New Roman"/>
          <w:color w:val="000000"/>
          <w:sz w:val="22"/>
          <w:szCs w:val="22"/>
        </w:rPr>
        <w:t xml:space="preserve">introduction of </w:t>
      </w:r>
      <w:r>
        <w:rPr>
          <w:rFonts w:ascii="Times New Roman" w:hAnsi="Times New Roman"/>
          <w:color w:val="000000"/>
          <w:sz w:val="22"/>
          <w:szCs w:val="22"/>
        </w:rPr>
        <w:t xml:space="preserve">taxa at the new rank sub-order, </w:t>
      </w:r>
      <w:r w:rsidR="003E1660">
        <w:rPr>
          <w:rFonts w:ascii="Times New Roman" w:hAnsi="Times New Roman"/>
          <w:color w:val="000000"/>
          <w:sz w:val="22"/>
          <w:szCs w:val="22"/>
        </w:rPr>
        <w:t>which was proposed to establish in</w:t>
      </w:r>
      <w:r>
        <w:rPr>
          <w:rFonts w:ascii="Times New Roman" w:hAnsi="Times New Roman"/>
          <w:color w:val="000000"/>
          <w:sz w:val="22"/>
          <w:szCs w:val="22"/>
        </w:rPr>
        <w:t xml:space="preserve"> a concurrently submitted proposal. </w:t>
      </w:r>
      <w:r w:rsidR="00727159">
        <w:rPr>
          <w:rFonts w:ascii="Times New Roman" w:hAnsi="Times New Roman"/>
          <w:color w:val="000000"/>
          <w:sz w:val="22"/>
          <w:szCs w:val="22"/>
        </w:rPr>
        <w:t xml:space="preserve">Three other proposals deal with novelties </w:t>
      </w:r>
      <w:r w:rsidR="00636901">
        <w:rPr>
          <w:rFonts w:ascii="Times New Roman" w:hAnsi="Times New Roman"/>
          <w:color w:val="000000"/>
          <w:sz w:val="22"/>
          <w:szCs w:val="22"/>
        </w:rPr>
        <w:t xml:space="preserve">concerning </w:t>
      </w:r>
      <w:r w:rsidR="00D63A71">
        <w:rPr>
          <w:rFonts w:ascii="Times New Roman" w:hAnsi="Times New Roman"/>
          <w:color w:val="000000"/>
          <w:sz w:val="22"/>
          <w:szCs w:val="22"/>
        </w:rPr>
        <w:t xml:space="preserve">all the </w:t>
      </w:r>
      <w:r w:rsidR="00727159">
        <w:rPr>
          <w:rFonts w:ascii="Times New Roman" w:hAnsi="Times New Roman"/>
          <w:color w:val="000000"/>
          <w:sz w:val="22"/>
          <w:szCs w:val="22"/>
        </w:rPr>
        <w:t xml:space="preserve">ranks below </w:t>
      </w:r>
      <w:r w:rsidR="00636901">
        <w:rPr>
          <w:rFonts w:ascii="Times New Roman" w:hAnsi="Times New Roman"/>
          <w:color w:val="000000"/>
          <w:sz w:val="22"/>
          <w:szCs w:val="22"/>
        </w:rPr>
        <w:t xml:space="preserve">the </w:t>
      </w:r>
      <w:r w:rsidR="00727159">
        <w:rPr>
          <w:rFonts w:ascii="Times New Roman" w:hAnsi="Times New Roman"/>
          <w:color w:val="000000"/>
          <w:sz w:val="22"/>
          <w:szCs w:val="22"/>
        </w:rPr>
        <w:t>family</w:t>
      </w:r>
      <w:r w:rsidR="00636901">
        <w:rPr>
          <w:rFonts w:ascii="Times New Roman" w:hAnsi="Times New Roman"/>
          <w:color w:val="000000"/>
          <w:sz w:val="22"/>
          <w:szCs w:val="22"/>
        </w:rPr>
        <w:t xml:space="preserve"> rank </w:t>
      </w:r>
      <w:r w:rsidR="00727159">
        <w:rPr>
          <w:rFonts w:ascii="Times New Roman" w:hAnsi="Times New Roman"/>
          <w:color w:val="000000"/>
          <w:sz w:val="22"/>
          <w:szCs w:val="22"/>
        </w:rPr>
        <w:t xml:space="preserve">in </w:t>
      </w:r>
      <w:r w:rsidR="00636901">
        <w:rPr>
          <w:rFonts w:ascii="Times New Roman" w:hAnsi="Times New Roman"/>
          <w:color w:val="000000"/>
          <w:sz w:val="22"/>
          <w:szCs w:val="22"/>
        </w:rPr>
        <w:t xml:space="preserve">(i) </w:t>
      </w:r>
      <w:r w:rsidR="00727159">
        <w:rPr>
          <w:rFonts w:ascii="Times New Roman" w:hAnsi="Times New Roman"/>
          <w:color w:val="000000"/>
          <w:sz w:val="22"/>
          <w:szCs w:val="22"/>
        </w:rPr>
        <w:t xml:space="preserve">the family </w:t>
      </w:r>
      <w:r w:rsidR="00727159" w:rsidRPr="00C946A3">
        <w:rPr>
          <w:rFonts w:ascii="Times New Roman" w:hAnsi="Times New Roman"/>
          <w:i/>
          <w:color w:val="000000"/>
          <w:sz w:val="22"/>
          <w:szCs w:val="22"/>
        </w:rPr>
        <w:t>Arteriviridae</w:t>
      </w:r>
      <w:r w:rsidR="00727159">
        <w:rPr>
          <w:rFonts w:ascii="Times New Roman" w:hAnsi="Times New Roman"/>
          <w:color w:val="000000"/>
          <w:sz w:val="22"/>
          <w:szCs w:val="22"/>
        </w:rPr>
        <w:t xml:space="preserve">, </w:t>
      </w:r>
      <w:r w:rsidR="00636901">
        <w:rPr>
          <w:rFonts w:ascii="Times New Roman" w:hAnsi="Times New Roman"/>
          <w:color w:val="000000"/>
          <w:sz w:val="22"/>
          <w:szCs w:val="22"/>
        </w:rPr>
        <w:t xml:space="preserve">(ii) the </w:t>
      </w:r>
      <w:r w:rsidR="003E1660">
        <w:rPr>
          <w:rFonts w:ascii="Times New Roman" w:hAnsi="Times New Roman"/>
          <w:color w:val="000000"/>
          <w:sz w:val="22"/>
          <w:szCs w:val="22"/>
        </w:rPr>
        <w:t xml:space="preserve">current </w:t>
      </w:r>
      <w:r w:rsidR="00727159">
        <w:rPr>
          <w:rFonts w:ascii="Times New Roman" w:hAnsi="Times New Roman"/>
          <w:color w:val="000000"/>
          <w:sz w:val="22"/>
          <w:szCs w:val="22"/>
        </w:rPr>
        <w:t xml:space="preserve">family </w:t>
      </w:r>
      <w:r w:rsidR="00727159" w:rsidRPr="00C946A3">
        <w:rPr>
          <w:rFonts w:ascii="Times New Roman" w:hAnsi="Times New Roman"/>
          <w:i/>
          <w:color w:val="000000"/>
          <w:sz w:val="22"/>
          <w:szCs w:val="22"/>
        </w:rPr>
        <w:t>Coronaviridae</w:t>
      </w:r>
      <w:r w:rsidR="00727159">
        <w:rPr>
          <w:rFonts w:ascii="Times New Roman" w:hAnsi="Times New Roman"/>
          <w:color w:val="000000"/>
          <w:sz w:val="22"/>
          <w:szCs w:val="22"/>
        </w:rPr>
        <w:t xml:space="preserve">, and </w:t>
      </w:r>
      <w:r w:rsidR="00636901">
        <w:rPr>
          <w:rFonts w:ascii="Times New Roman" w:hAnsi="Times New Roman"/>
          <w:color w:val="000000"/>
          <w:sz w:val="22"/>
          <w:szCs w:val="22"/>
        </w:rPr>
        <w:t xml:space="preserve">(iii) </w:t>
      </w:r>
      <w:r w:rsidR="00727159">
        <w:rPr>
          <w:rFonts w:ascii="Times New Roman" w:hAnsi="Times New Roman"/>
          <w:color w:val="000000"/>
          <w:sz w:val="22"/>
          <w:szCs w:val="22"/>
        </w:rPr>
        <w:t xml:space="preserve">several families </w:t>
      </w:r>
      <w:r w:rsidR="00F937C6">
        <w:rPr>
          <w:rFonts w:ascii="Times New Roman" w:hAnsi="Times New Roman"/>
          <w:color w:val="000000"/>
          <w:sz w:val="22"/>
          <w:szCs w:val="22"/>
        </w:rPr>
        <w:t>of</w:t>
      </w:r>
      <w:r w:rsidR="00727159">
        <w:rPr>
          <w:rFonts w:ascii="Times New Roman" w:hAnsi="Times New Roman"/>
          <w:color w:val="000000"/>
          <w:sz w:val="22"/>
          <w:szCs w:val="22"/>
        </w:rPr>
        <w:t xml:space="preserve"> invertebrate nidoviruses, respectively. </w:t>
      </w:r>
      <w:r w:rsidR="00A430CB">
        <w:rPr>
          <w:rFonts w:ascii="Times New Roman" w:hAnsi="Times New Roman"/>
          <w:color w:val="000000"/>
          <w:sz w:val="22"/>
          <w:szCs w:val="22"/>
        </w:rPr>
        <w:t xml:space="preserve">A summary of the proposed taxonomy of the order </w:t>
      </w:r>
      <w:r w:rsidR="00A430CB" w:rsidRPr="00684626">
        <w:rPr>
          <w:rFonts w:ascii="Times New Roman" w:hAnsi="Times New Roman"/>
          <w:i/>
          <w:color w:val="000000"/>
          <w:sz w:val="22"/>
          <w:szCs w:val="22"/>
        </w:rPr>
        <w:t>Nidoviral</w:t>
      </w:r>
      <w:r w:rsidR="00D63A71">
        <w:rPr>
          <w:rFonts w:ascii="Times New Roman" w:hAnsi="Times New Roman"/>
          <w:i/>
          <w:color w:val="000000"/>
          <w:sz w:val="22"/>
          <w:szCs w:val="22"/>
        </w:rPr>
        <w:t>e</w:t>
      </w:r>
      <w:r w:rsidR="00A430CB" w:rsidRPr="00684626">
        <w:rPr>
          <w:rFonts w:ascii="Times New Roman" w:hAnsi="Times New Roman"/>
          <w:i/>
          <w:color w:val="000000"/>
          <w:sz w:val="22"/>
          <w:szCs w:val="22"/>
        </w:rPr>
        <w:t>s</w:t>
      </w:r>
      <w:r w:rsidR="00A430CB">
        <w:rPr>
          <w:rFonts w:ascii="Times New Roman" w:hAnsi="Times New Roman"/>
          <w:color w:val="000000"/>
          <w:sz w:val="22"/>
          <w:szCs w:val="22"/>
        </w:rPr>
        <w:t xml:space="preserve"> </w:t>
      </w:r>
      <w:r w:rsidR="00684626">
        <w:rPr>
          <w:rFonts w:ascii="Times New Roman" w:hAnsi="Times New Roman"/>
          <w:color w:val="000000"/>
          <w:sz w:val="22"/>
          <w:szCs w:val="22"/>
        </w:rPr>
        <w:t>along with support of its ranks and datasets involved in the analysis are</w:t>
      </w:r>
      <w:r w:rsidR="00A430CB">
        <w:rPr>
          <w:rFonts w:ascii="Times New Roman" w:hAnsi="Times New Roman"/>
          <w:color w:val="000000"/>
          <w:sz w:val="22"/>
          <w:szCs w:val="22"/>
        </w:rPr>
        <w:t xml:space="preserve"> </w:t>
      </w:r>
      <w:r w:rsidR="00684626">
        <w:rPr>
          <w:rFonts w:ascii="Times New Roman" w:hAnsi="Times New Roman"/>
          <w:color w:val="000000"/>
          <w:sz w:val="22"/>
          <w:szCs w:val="22"/>
        </w:rPr>
        <w:t>depicted</w:t>
      </w:r>
      <w:r w:rsidR="00A430CB">
        <w:rPr>
          <w:rFonts w:ascii="Times New Roman" w:hAnsi="Times New Roman"/>
          <w:color w:val="000000"/>
          <w:sz w:val="22"/>
          <w:szCs w:val="22"/>
        </w:rPr>
        <w:t xml:space="preserve"> in </w:t>
      </w:r>
      <w:r w:rsidR="00A430CB" w:rsidRPr="00A430CB">
        <w:rPr>
          <w:rFonts w:ascii="Times New Roman" w:hAnsi="Times New Roman"/>
          <w:b/>
          <w:color w:val="000000"/>
          <w:sz w:val="22"/>
          <w:szCs w:val="22"/>
        </w:rPr>
        <w:t xml:space="preserve">Fig. 1 </w:t>
      </w:r>
      <w:r w:rsidR="00A430CB">
        <w:rPr>
          <w:rFonts w:ascii="Times New Roman" w:hAnsi="Times New Roman"/>
          <w:b/>
          <w:color w:val="000000"/>
          <w:sz w:val="22"/>
          <w:szCs w:val="22"/>
        </w:rPr>
        <w:t xml:space="preserve">(see </w:t>
      </w:r>
      <w:r w:rsidR="00A430CB" w:rsidRPr="00A430CB">
        <w:rPr>
          <w:rFonts w:ascii="Times New Roman" w:hAnsi="Times New Roman"/>
          <w:b/>
          <w:color w:val="000000"/>
          <w:sz w:val="22"/>
          <w:szCs w:val="22"/>
        </w:rPr>
        <w:t>Appendix</w:t>
      </w:r>
      <w:r w:rsidR="00A430CB" w:rsidRPr="00A430CB">
        <w:rPr>
          <w:rFonts w:ascii="Times New Roman" w:hAnsi="Times New Roman"/>
          <w:color w:val="000000"/>
          <w:sz w:val="22"/>
          <w:szCs w:val="22"/>
        </w:rPr>
        <w:t>)</w:t>
      </w:r>
      <w:r w:rsidR="00A430CB">
        <w:rPr>
          <w:rFonts w:ascii="Times New Roman" w:hAnsi="Times New Roman"/>
          <w:color w:val="000000"/>
          <w:sz w:val="22"/>
          <w:szCs w:val="22"/>
        </w:rPr>
        <w:t xml:space="preserve">. </w:t>
      </w:r>
    </w:p>
    <w:p w14:paraId="2578A77A" w14:textId="77777777" w:rsidR="00727159" w:rsidRDefault="00727159" w:rsidP="00926A4D">
      <w:pPr>
        <w:pStyle w:val="BodyTextIndent"/>
        <w:ind w:left="0" w:firstLine="0"/>
        <w:rPr>
          <w:rFonts w:ascii="Times New Roman" w:hAnsi="Times New Roman"/>
          <w:color w:val="000000"/>
          <w:sz w:val="22"/>
          <w:szCs w:val="22"/>
        </w:rPr>
      </w:pPr>
    </w:p>
    <w:p w14:paraId="20BDB483" w14:textId="235B0055" w:rsidR="00B261D6" w:rsidRPr="00B261D6" w:rsidRDefault="00C946A3" w:rsidP="003E1660">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The</w:t>
      </w:r>
      <w:r w:rsidRPr="00C946A3">
        <w:rPr>
          <w:rFonts w:ascii="Times New Roman" w:hAnsi="Times New Roman"/>
          <w:color w:val="000000"/>
          <w:sz w:val="22"/>
          <w:szCs w:val="22"/>
        </w:rPr>
        <w:t xml:space="preserve"> </w:t>
      </w:r>
      <w:r w:rsidR="00C65CC1">
        <w:rPr>
          <w:rFonts w:ascii="Times New Roman" w:hAnsi="Times New Roman"/>
          <w:color w:val="000000"/>
          <w:sz w:val="22"/>
          <w:szCs w:val="22"/>
        </w:rPr>
        <w:t xml:space="preserve">underlying </w:t>
      </w:r>
      <w:r w:rsidRPr="00C946A3">
        <w:rPr>
          <w:rFonts w:ascii="Times New Roman" w:hAnsi="Times New Roman"/>
          <w:color w:val="000000"/>
          <w:sz w:val="22"/>
          <w:szCs w:val="22"/>
        </w:rPr>
        <w:t>analy</w:t>
      </w:r>
      <w:r>
        <w:rPr>
          <w:rFonts w:ascii="Times New Roman" w:hAnsi="Times New Roman"/>
          <w:color w:val="000000"/>
          <w:sz w:val="22"/>
          <w:szCs w:val="22"/>
        </w:rPr>
        <w:t>sis</w:t>
      </w:r>
      <w:r w:rsidRPr="00C946A3">
        <w:rPr>
          <w:rFonts w:ascii="Times New Roman" w:hAnsi="Times New Roman"/>
          <w:color w:val="000000"/>
          <w:sz w:val="22"/>
          <w:szCs w:val="22"/>
        </w:rPr>
        <w:t xml:space="preserve"> </w:t>
      </w:r>
      <w:r>
        <w:rPr>
          <w:rFonts w:ascii="Times New Roman" w:hAnsi="Times New Roman"/>
          <w:color w:val="000000"/>
          <w:sz w:val="22"/>
          <w:szCs w:val="22"/>
        </w:rPr>
        <w:t xml:space="preserve">involved </w:t>
      </w:r>
      <w:r w:rsidRPr="00C946A3">
        <w:rPr>
          <w:rFonts w:ascii="Times New Roman" w:hAnsi="Times New Roman"/>
          <w:color w:val="000000"/>
          <w:sz w:val="22"/>
          <w:szCs w:val="22"/>
        </w:rPr>
        <w:t xml:space="preserve">&gt;3500 </w:t>
      </w:r>
      <w:r>
        <w:rPr>
          <w:rFonts w:ascii="Times New Roman" w:hAnsi="Times New Roman"/>
          <w:color w:val="000000"/>
          <w:sz w:val="22"/>
          <w:szCs w:val="22"/>
        </w:rPr>
        <w:t xml:space="preserve">(near) complete </w:t>
      </w:r>
      <w:r w:rsidRPr="00C946A3">
        <w:rPr>
          <w:rFonts w:ascii="Times New Roman" w:hAnsi="Times New Roman"/>
          <w:color w:val="000000"/>
          <w:sz w:val="22"/>
          <w:szCs w:val="22"/>
        </w:rPr>
        <w:t>genome sequences of nidoviruses of diverse vertebrate and invertebrate hosts</w:t>
      </w:r>
      <w:r w:rsidR="004E339C">
        <w:rPr>
          <w:rFonts w:ascii="Times New Roman" w:hAnsi="Times New Roman"/>
          <w:color w:val="000000"/>
          <w:sz w:val="22"/>
          <w:szCs w:val="22"/>
        </w:rPr>
        <w:t>;</w:t>
      </w:r>
      <w:r w:rsidRPr="00C946A3">
        <w:rPr>
          <w:rFonts w:ascii="Times New Roman" w:hAnsi="Times New Roman"/>
          <w:color w:val="000000"/>
          <w:sz w:val="22"/>
          <w:szCs w:val="22"/>
        </w:rPr>
        <w:t xml:space="preserve"> </w:t>
      </w:r>
      <w:r w:rsidR="004E339C">
        <w:rPr>
          <w:rFonts w:ascii="Times New Roman" w:hAnsi="Times New Roman"/>
          <w:color w:val="000000"/>
          <w:sz w:val="22"/>
          <w:szCs w:val="22"/>
        </w:rPr>
        <w:t xml:space="preserve">many of these sequences were the only </w:t>
      </w:r>
      <w:r w:rsidR="00C641FC">
        <w:rPr>
          <w:rFonts w:ascii="Times New Roman" w:hAnsi="Times New Roman"/>
          <w:color w:val="000000"/>
          <w:sz w:val="22"/>
          <w:szCs w:val="22"/>
        </w:rPr>
        <w:t xml:space="preserve">or major </w:t>
      </w:r>
      <w:r w:rsidR="004E339C">
        <w:rPr>
          <w:rFonts w:ascii="Times New Roman" w:hAnsi="Times New Roman"/>
          <w:color w:val="000000"/>
          <w:sz w:val="22"/>
          <w:szCs w:val="22"/>
        </w:rPr>
        <w:t xml:space="preserve">source of information about </w:t>
      </w:r>
      <w:r w:rsidR="00D63A71">
        <w:rPr>
          <w:rFonts w:ascii="Times New Roman" w:hAnsi="Times New Roman"/>
          <w:color w:val="000000"/>
          <w:sz w:val="22"/>
          <w:szCs w:val="22"/>
        </w:rPr>
        <w:t xml:space="preserve">the </w:t>
      </w:r>
      <w:r w:rsidR="004E339C">
        <w:rPr>
          <w:rFonts w:ascii="Times New Roman" w:hAnsi="Times New Roman"/>
          <w:color w:val="000000"/>
          <w:sz w:val="22"/>
          <w:szCs w:val="22"/>
        </w:rPr>
        <w:t>respective viruses</w:t>
      </w:r>
      <w:r w:rsidR="00C641FC">
        <w:rPr>
          <w:rFonts w:ascii="Times New Roman" w:hAnsi="Times New Roman"/>
          <w:color w:val="000000"/>
          <w:sz w:val="22"/>
          <w:szCs w:val="22"/>
        </w:rPr>
        <w:t>, particularly for viruses reported at the International Symposium Nido2017 (2, 3)</w:t>
      </w:r>
      <w:r w:rsidR="004E339C">
        <w:rPr>
          <w:rFonts w:ascii="Times New Roman" w:hAnsi="Times New Roman"/>
          <w:color w:val="000000"/>
          <w:sz w:val="22"/>
          <w:szCs w:val="22"/>
        </w:rPr>
        <w:t>. Genome sequence</w:t>
      </w:r>
      <w:r w:rsidR="00D63A71">
        <w:rPr>
          <w:rFonts w:ascii="Times New Roman" w:hAnsi="Times New Roman"/>
          <w:color w:val="000000"/>
          <w:sz w:val="22"/>
          <w:szCs w:val="22"/>
        </w:rPr>
        <w:t>s</w:t>
      </w:r>
      <w:r w:rsidR="004E339C">
        <w:rPr>
          <w:rFonts w:ascii="Times New Roman" w:hAnsi="Times New Roman"/>
          <w:color w:val="000000"/>
          <w:sz w:val="22"/>
          <w:szCs w:val="22"/>
        </w:rPr>
        <w:t xml:space="preserve"> were analyzed in the</w:t>
      </w:r>
      <w:r w:rsidR="004E339C" w:rsidRPr="004E339C">
        <w:rPr>
          <w:rFonts w:ascii="Times New Roman" w:hAnsi="Times New Roman"/>
          <w:color w:val="000000"/>
          <w:sz w:val="22"/>
          <w:szCs w:val="22"/>
        </w:rPr>
        <w:t xml:space="preserve"> computational </w:t>
      </w:r>
      <w:r w:rsidR="004E339C">
        <w:rPr>
          <w:rFonts w:ascii="Times New Roman" w:hAnsi="Times New Roman"/>
          <w:color w:val="000000"/>
          <w:sz w:val="22"/>
          <w:szCs w:val="22"/>
        </w:rPr>
        <w:t>comparative genomics framework DEmARC</w:t>
      </w:r>
      <w:r w:rsidR="004E339C" w:rsidRPr="004E339C">
        <w:rPr>
          <w:rFonts w:ascii="Times New Roman" w:hAnsi="Times New Roman"/>
          <w:color w:val="000000"/>
          <w:sz w:val="22"/>
          <w:szCs w:val="22"/>
        </w:rPr>
        <w:t xml:space="preserve"> </w:t>
      </w:r>
      <w:r w:rsidR="004E339C">
        <w:rPr>
          <w:rFonts w:ascii="Times New Roman" w:hAnsi="Times New Roman"/>
          <w:color w:val="000000"/>
          <w:sz w:val="22"/>
          <w:szCs w:val="22"/>
        </w:rPr>
        <w:t>(</w:t>
      </w:r>
      <w:r w:rsidR="004E339C" w:rsidRPr="004E339C">
        <w:rPr>
          <w:rFonts w:ascii="Times New Roman" w:hAnsi="Times New Roman"/>
          <w:color w:val="000000"/>
          <w:sz w:val="22"/>
          <w:szCs w:val="22"/>
        </w:rPr>
        <w:t>DivErsity pArtitioning by hieRarchical Cl</w:t>
      </w:r>
      <w:r w:rsidR="004E339C">
        <w:rPr>
          <w:rFonts w:ascii="Times New Roman" w:hAnsi="Times New Roman"/>
          <w:color w:val="000000"/>
          <w:sz w:val="22"/>
          <w:szCs w:val="22"/>
        </w:rPr>
        <w:t xml:space="preserve">ustering) </w:t>
      </w:r>
      <w:r w:rsidRPr="00C946A3">
        <w:rPr>
          <w:rFonts w:ascii="Times New Roman" w:hAnsi="Times New Roman"/>
          <w:color w:val="000000"/>
          <w:sz w:val="22"/>
          <w:szCs w:val="22"/>
        </w:rPr>
        <w:t xml:space="preserve">using profiles of multiple sequence alignments (MSA), Bayesian and Maximum-likelihood phylogenetic trees, and </w:t>
      </w:r>
      <w:r w:rsidR="00F937C6">
        <w:rPr>
          <w:rFonts w:ascii="Times New Roman" w:hAnsi="Times New Roman"/>
          <w:color w:val="000000"/>
          <w:sz w:val="22"/>
          <w:szCs w:val="22"/>
        </w:rPr>
        <w:t xml:space="preserve">profiles of clustering cost </w:t>
      </w:r>
      <w:r w:rsidR="00121260">
        <w:rPr>
          <w:rFonts w:ascii="Times New Roman" w:hAnsi="Times New Roman"/>
          <w:color w:val="000000"/>
          <w:sz w:val="22"/>
          <w:szCs w:val="22"/>
        </w:rPr>
        <w:t xml:space="preserve">(CC) </w:t>
      </w:r>
      <w:r w:rsidR="00F937C6">
        <w:rPr>
          <w:rFonts w:ascii="Times New Roman" w:hAnsi="Times New Roman"/>
          <w:color w:val="000000"/>
          <w:sz w:val="22"/>
          <w:szCs w:val="22"/>
        </w:rPr>
        <w:t xml:space="preserve">function </w:t>
      </w:r>
      <w:r w:rsidR="004E339C">
        <w:rPr>
          <w:rFonts w:ascii="Times New Roman" w:hAnsi="Times New Roman"/>
          <w:color w:val="000000"/>
          <w:sz w:val="22"/>
          <w:szCs w:val="22"/>
        </w:rPr>
        <w:t xml:space="preserve">that were produced for </w:t>
      </w:r>
      <w:r w:rsidRPr="00C946A3">
        <w:rPr>
          <w:rFonts w:ascii="Times New Roman" w:hAnsi="Times New Roman"/>
          <w:color w:val="000000"/>
          <w:sz w:val="22"/>
          <w:szCs w:val="22"/>
        </w:rPr>
        <w:t xml:space="preserve">weighted hierarchical clustering of pairwise patristic </w:t>
      </w:r>
      <w:r w:rsidRPr="00B261D6">
        <w:rPr>
          <w:rFonts w:ascii="Times New Roman" w:hAnsi="Times New Roman"/>
          <w:color w:val="000000"/>
          <w:sz w:val="22"/>
          <w:szCs w:val="22"/>
        </w:rPr>
        <w:t>distances</w:t>
      </w:r>
      <w:r w:rsidR="0099185C">
        <w:rPr>
          <w:rFonts w:ascii="Times New Roman" w:hAnsi="Times New Roman"/>
          <w:color w:val="000000"/>
          <w:sz w:val="22"/>
          <w:szCs w:val="22"/>
        </w:rPr>
        <w:t xml:space="preserve"> (PPD)</w:t>
      </w:r>
      <w:r w:rsidRPr="00B261D6">
        <w:rPr>
          <w:rFonts w:ascii="Times New Roman" w:hAnsi="Times New Roman"/>
          <w:color w:val="000000"/>
          <w:sz w:val="22"/>
          <w:szCs w:val="22"/>
        </w:rPr>
        <w:t xml:space="preserve">. </w:t>
      </w:r>
      <w:r w:rsidR="00B261D6">
        <w:rPr>
          <w:rFonts w:ascii="Times New Roman" w:hAnsi="Times New Roman"/>
          <w:color w:val="000000"/>
          <w:sz w:val="22"/>
          <w:szCs w:val="22"/>
        </w:rPr>
        <w:t xml:space="preserve">In </w:t>
      </w:r>
      <w:r w:rsidR="002F7B95">
        <w:rPr>
          <w:rFonts w:ascii="Times New Roman" w:hAnsi="Times New Roman"/>
          <w:color w:val="000000"/>
          <w:sz w:val="22"/>
          <w:szCs w:val="22"/>
        </w:rPr>
        <w:t xml:space="preserve">the CC </w:t>
      </w:r>
      <w:r w:rsidR="00B261D6">
        <w:rPr>
          <w:rFonts w:ascii="Times New Roman" w:hAnsi="Times New Roman"/>
          <w:color w:val="000000"/>
          <w:sz w:val="22"/>
          <w:szCs w:val="22"/>
        </w:rPr>
        <w:t>profiles, all local minima (small</w:t>
      </w:r>
      <w:r w:rsidR="0099185C">
        <w:rPr>
          <w:rFonts w:ascii="Times New Roman" w:hAnsi="Times New Roman"/>
          <w:color w:val="000000"/>
          <w:sz w:val="22"/>
          <w:szCs w:val="22"/>
        </w:rPr>
        <w:t>est</w:t>
      </w:r>
      <w:r w:rsidR="00B261D6">
        <w:rPr>
          <w:rFonts w:ascii="Times New Roman" w:hAnsi="Times New Roman"/>
          <w:color w:val="000000"/>
          <w:sz w:val="22"/>
          <w:szCs w:val="22"/>
        </w:rPr>
        <w:t xml:space="preserve"> CC values</w:t>
      </w:r>
      <w:r w:rsidR="0099185C">
        <w:rPr>
          <w:rFonts w:ascii="Times New Roman" w:hAnsi="Times New Roman"/>
          <w:color w:val="000000"/>
          <w:sz w:val="22"/>
          <w:szCs w:val="22"/>
        </w:rPr>
        <w:t xml:space="preserve"> in a range of PPD values</w:t>
      </w:r>
      <w:r w:rsidR="00B261D6">
        <w:rPr>
          <w:rFonts w:ascii="Times New Roman" w:hAnsi="Times New Roman"/>
          <w:color w:val="000000"/>
          <w:sz w:val="22"/>
          <w:szCs w:val="22"/>
        </w:rPr>
        <w:t xml:space="preserve">) were considered as candidate </w:t>
      </w:r>
      <w:r w:rsidR="00B261D6" w:rsidRPr="00B261D6">
        <w:rPr>
          <w:rFonts w:ascii="Times New Roman" w:eastAsia="Times New Roman" w:hAnsi="Times New Roman"/>
          <w:sz w:val="22"/>
          <w:szCs w:val="22"/>
          <w:lang w:eastAsia="en-US"/>
        </w:rPr>
        <w:t xml:space="preserve">thresholds for ranks </w:t>
      </w:r>
      <w:r w:rsidR="00D63A71">
        <w:rPr>
          <w:rFonts w:ascii="Times New Roman" w:eastAsia="Times New Roman" w:hAnsi="Times New Roman"/>
          <w:sz w:val="22"/>
          <w:szCs w:val="22"/>
          <w:lang w:eastAsia="en-US"/>
        </w:rPr>
        <w:t xml:space="preserve">if </w:t>
      </w:r>
      <w:r w:rsidR="00B261D6" w:rsidRPr="00B261D6">
        <w:rPr>
          <w:rFonts w:ascii="Times New Roman" w:eastAsia="Times New Roman" w:hAnsi="Times New Roman"/>
          <w:sz w:val="22"/>
          <w:szCs w:val="22"/>
          <w:lang w:eastAsia="en-US"/>
        </w:rPr>
        <w:t xml:space="preserve">they satisfied two requirements: </w:t>
      </w:r>
      <w:r w:rsidR="00D63A71">
        <w:rPr>
          <w:rFonts w:ascii="Times New Roman" w:eastAsia="Times New Roman" w:hAnsi="Times New Roman"/>
          <w:sz w:val="22"/>
          <w:szCs w:val="22"/>
          <w:lang w:eastAsia="en-US"/>
        </w:rPr>
        <w:t xml:space="preserve">(i) </w:t>
      </w:r>
      <w:r w:rsidR="00B261D6" w:rsidRPr="00B261D6">
        <w:rPr>
          <w:rFonts w:ascii="Times New Roman" w:eastAsia="Times New Roman" w:hAnsi="Times New Roman"/>
          <w:sz w:val="22"/>
          <w:szCs w:val="22"/>
          <w:lang w:eastAsia="en-US"/>
        </w:rPr>
        <w:t xml:space="preserve">the clusters formed under these thresholds were monophyletic in the ML tree of </w:t>
      </w:r>
      <w:r w:rsidR="00D63A71">
        <w:rPr>
          <w:rFonts w:ascii="Times New Roman" w:eastAsia="Times New Roman" w:hAnsi="Times New Roman"/>
          <w:sz w:val="22"/>
          <w:szCs w:val="22"/>
          <w:lang w:eastAsia="en-US"/>
        </w:rPr>
        <w:t xml:space="preserve">the </w:t>
      </w:r>
      <w:r w:rsidR="00B245C5">
        <w:rPr>
          <w:rFonts w:ascii="Times New Roman" w:eastAsia="Times New Roman" w:hAnsi="Times New Roman"/>
          <w:sz w:val="22"/>
          <w:szCs w:val="22"/>
          <w:lang w:eastAsia="en-US"/>
        </w:rPr>
        <w:t>respective nidovirus subset</w:t>
      </w:r>
      <w:r w:rsidR="00402D8F">
        <w:rPr>
          <w:rFonts w:ascii="Times New Roman" w:eastAsia="Times New Roman" w:hAnsi="Times New Roman"/>
          <w:sz w:val="22"/>
          <w:szCs w:val="22"/>
          <w:lang w:eastAsia="en-US"/>
        </w:rPr>
        <w:t>s</w:t>
      </w:r>
      <w:r w:rsidR="00B261D6" w:rsidRPr="00B261D6">
        <w:rPr>
          <w:rFonts w:ascii="Times New Roman" w:eastAsia="Times New Roman" w:hAnsi="Times New Roman"/>
          <w:sz w:val="22"/>
          <w:szCs w:val="22"/>
          <w:lang w:eastAsia="en-US"/>
        </w:rPr>
        <w:t xml:space="preserve">, and </w:t>
      </w:r>
      <w:r w:rsidR="00D63A71">
        <w:rPr>
          <w:rFonts w:ascii="Times New Roman" w:eastAsia="Times New Roman" w:hAnsi="Times New Roman"/>
          <w:sz w:val="22"/>
          <w:szCs w:val="22"/>
          <w:lang w:eastAsia="en-US"/>
        </w:rPr>
        <w:t xml:space="preserve">(ii) </w:t>
      </w:r>
      <w:r w:rsidR="00B261D6" w:rsidRPr="00B261D6">
        <w:rPr>
          <w:rFonts w:ascii="Times New Roman" w:eastAsia="Times New Roman" w:hAnsi="Times New Roman"/>
          <w:sz w:val="22"/>
          <w:szCs w:val="22"/>
          <w:lang w:eastAsia="en-US"/>
        </w:rPr>
        <w:t xml:space="preserve">all intra- and inter-cluster PPDs, respectively, </w:t>
      </w:r>
      <w:r w:rsidR="00D63A71">
        <w:rPr>
          <w:rFonts w:ascii="Times New Roman" w:eastAsia="Times New Roman" w:hAnsi="Times New Roman"/>
          <w:sz w:val="22"/>
          <w:szCs w:val="22"/>
          <w:lang w:eastAsia="en-US"/>
        </w:rPr>
        <w:t xml:space="preserve">were </w:t>
      </w:r>
      <w:r w:rsidR="00B261D6">
        <w:rPr>
          <w:rFonts w:ascii="Times New Roman" w:eastAsia="Times New Roman" w:hAnsi="Times New Roman"/>
          <w:sz w:val="22"/>
          <w:szCs w:val="22"/>
          <w:lang w:eastAsia="en-US"/>
        </w:rPr>
        <w:t xml:space="preserve">(predominantly) </w:t>
      </w:r>
      <w:r w:rsidR="00B261D6" w:rsidRPr="00B261D6">
        <w:rPr>
          <w:rFonts w:ascii="Times New Roman" w:eastAsia="Times New Roman" w:hAnsi="Times New Roman"/>
          <w:sz w:val="22"/>
          <w:szCs w:val="22"/>
          <w:lang w:eastAsia="en-US"/>
        </w:rPr>
        <w:t xml:space="preserve">smaller </w:t>
      </w:r>
      <w:r w:rsidR="00D63A71">
        <w:rPr>
          <w:rFonts w:ascii="Times New Roman" w:eastAsia="Times New Roman" w:hAnsi="Times New Roman"/>
          <w:sz w:val="22"/>
          <w:szCs w:val="22"/>
          <w:lang w:eastAsia="en-US"/>
        </w:rPr>
        <w:t>or</w:t>
      </w:r>
      <w:r w:rsidR="00D63A71" w:rsidRPr="00B261D6">
        <w:rPr>
          <w:rFonts w:ascii="Times New Roman" w:eastAsia="Times New Roman" w:hAnsi="Times New Roman"/>
          <w:sz w:val="22"/>
          <w:szCs w:val="22"/>
          <w:lang w:eastAsia="en-US"/>
        </w:rPr>
        <w:t xml:space="preserve"> </w:t>
      </w:r>
      <w:r w:rsidR="00B261D6">
        <w:rPr>
          <w:rFonts w:ascii="Times New Roman" w:eastAsia="Times New Roman" w:hAnsi="Times New Roman"/>
          <w:sz w:val="22"/>
          <w:szCs w:val="22"/>
          <w:lang w:eastAsia="en-US"/>
        </w:rPr>
        <w:t xml:space="preserve">(predominantly) </w:t>
      </w:r>
      <w:r w:rsidR="00B261D6" w:rsidRPr="00B261D6">
        <w:rPr>
          <w:rFonts w:ascii="Times New Roman" w:eastAsia="Times New Roman" w:hAnsi="Times New Roman"/>
          <w:sz w:val="22"/>
          <w:szCs w:val="22"/>
          <w:lang w:eastAsia="en-US"/>
        </w:rPr>
        <w:t>larger than the respective threshold</w:t>
      </w:r>
      <w:r w:rsidR="00B261D6">
        <w:rPr>
          <w:rFonts w:ascii="Times New Roman" w:eastAsia="Times New Roman" w:hAnsi="Times New Roman"/>
          <w:sz w:val="22"/>
          <w:szCs w:val="22"/>
          <w:lang w:eastAsia="en-US"/>
        </w:rPr>
        <w:t xml:space="preserve">. </w:t>
      </w:r>
      <w:r w:rsidR="0099185C">
        <w:rPr>
          <w:rFonts w:ascii="Times New Roman" w:eastAsia="Times New Roman" w:hAnsi="Times New Roman"/>
          <w:sz w:val="22"/>
          <w:szCs w:val="22"/>
          <w:lang w:eastAsia="en-US"/>
        </w:rPr>
        <w:t xml:space="preserve">If </w:t>
      </w:r>
      <w:r w:rsidR="0099185C" w:rsidRPr="0099185C">
        <w:rPr>
          <w:rFonts w:ascii="Times New Roman" w:eastAsia="Times New Roman" w:hAnsi="Times New Roman"/>
          <w:i/>
          <w:sz w:val="22"/>
          <w:szCs w:val="22"/>
          <w:lang w:eastAsia="en-US"/>
        </w:rPr>
        <w:t>all</w:t>
      </w:r>
      <w:r w:rsidR="0099185C" w:rsidRPr="00B261D6">
        <w:rPr>
          <w:rFonts w:ascii="Times New Roman" w:eastAsia="Times New Roman" w:hAnsi="Times New Roman"/>
          <w:sz w:val="22"/>
          <w:szCs w:val="22"/>
          <w:lang w:eastAsia="en-US"/>
        </w:rPr>
        <w:t xml:space="preserve"> intra- and inter-cluster PPDs, respectively, </w:t>
      </w:r>
      <w:r w:rsidR="008D044F" w:rsidRPr="00B261D6">
        <w:rPr>
          <w:rFonts w:ascii="Times New Roman" w:eastAsia="Times New Roman" w:hAnsi="Times New Roman"/>
          <w:sz w:val="22"/>
          <w:szCs w:val="22"/>
          <w:lang w:eastAsia="en-US"/>
        </w:rPr>
        <w:t xml:space="preserve">were </w:t>
      </w:r>
      <w:r w:rsidR="0099185C" w:rsidRPr="00B261D6">
        <w:rPr>
          <w:rFonts w:ascii="Times New Roman" w:eastAsia="Times New Roman" w:hAnsi="Times New Roman"/>
          <w:sz w:val="22"/>
          <w:szCs w:val="22"/>
          <w:lang w:eastAsia="en-US"/>
        </w:rPr>
        <w:t>smaller and larger than the respective threshold</w:t>
      </w:r>
      <w:r w:rsidR="0099185C">
        <w:rPr>
          <w:rFonts w:ascii="Times New Roman" w:eastAsia="Times New Roman" w:hAnsi="Times New Roman"/>
          <w:sz w:val="22"/>
          <w:szCs w:val="22"/>
          <w:lang w:eastAsia="en-US"/>
        </w:rPr>
        <w:t xml:space="preserve">, such clustering has </w:t>
      </w:r>
      <w:r w:rsidR="00E0377E">
        <w:rPr>
          <w:rFonts w:ascii="Times New Roman" w:eastAsia="Times New Roman" w:hAnsi="Times New Roman"/>
          <w:sz w:val="22"/>
          <w:szCs w:val="22"/>
          <w:lang w:eastAsia="en-US"/>
        </w:rPr>
        <w:t>a</w:t>
      </w:r>
      <w:r w:rsidR="00B261D6" w:rsidRPr="00B261D6">
        <w:rPr>
          <w:rFonts w:ascii="Times New Roman" w:eastAsia="Times New Roman" w:hAnsi="Times New Roman"/>
          <w:sz w:val="22"/>
          <w:szCs w:val="22"/>
          <w:lang w:eastAsia="en-US"/>
        </w:rPr>
        <w:t xml:space="preserve"> cost of zero, CC=0, according to DEmARC</w:t>
      </w:r>
      <w:r w:rsidR="00067894">
        <w:rPr>
          <w:rFonts w:ascii="Times New Roman" w:eastAsia="Times New Roman" w:hAnsi="Times New Roman"/>
          <w:sz w:val="22"/>
          <w:szCs w:val="22"/>
          <w:lang w:eastAsia="en-US"/>
        </w:rPr>
        <w:t>.</w:t>
      </w:r>
      <w:r w:rsidR="0099185C">
        <w:rPr>
          <w:rFonts w:ascii="Times New Roman" w:eastAsia="Times New Roman" w:hAnsi="Times New Roman"/>
          <w:sz w:val="22"/>
          <w:szCs w:val="22"/>
          <w:lang w:eastAsia="en-US"/>
        </w:rPr>
        <w:t xml:space="preserve"> </w:t>
      </w:r>
      <w:r w:rsidR="00067894" w:rsidRPr="00067894">
        <w:rPr>
          <w:rFonts w:ascii="Times New Roman" w:eastAsia="Times New Roman" w:hAnsi="Times New Roman"/>
          <w:sz w:val="22"/>
          <w:szCs w:val="22"/>
          <w:lang w:eastAsia="en-US"/>
        </w:rPr>
        <w:t xml:space="preserve">We have also </w:t>
      </w:r>
      <w:r w:rsidR="008A3ED3">
        <w:rPr>
          <w:rFonts w:ascii="Times New Roman" w:eastAsia="Times New Roman" w:hAnsi="Times New Roman"/>
          <w:sz w:val="22"/>
          <w:szCs w:val="22"/>
          <w:lang w:eastAsia="en-US"/>
        </w:rPr>
        <w:t>calculated</w:t>
      </w:r>
      <w:r w:rsidR="00067894" w:rsidRPr="00067894">
        <w:rPr>
          <w:rFonts w:ascii="Times New Roman" w:eastAsia="Times New Roman" w:hAnsi="Times New Roman"/>
          <w:sz w:val="22"/>
          <w:szCs w:val="22"/>
          <w:lang w:eastAsia="en-US"/>
        </w:rPr>
        <w:t xml:space="preserve"> persistence of a clustering as a range of PPD values over which this clustering was favored with the support of CC=0. The respective “threshold PPD ranges” were considered best candidates for demarcation. </w:t>
      </w:r>
      <w:r w:rsidR="00B261D6">
        <w:rPr>
          <w:rFonts w:ascii="Times New Roman" w:eastAsia="Times New Roman" w:hAnsi="Times New Roman"/>
          <w:sz w:val="22"/>
          <w:szCs w:val="22"/>
          <w:lang w:eastAsia="en-US"/>
        </w:rPr>
        <w:t xml:space="preserve">Those </w:t>
      </w:r>
      <w:r w:rsidR="008A3ED3">
        <w:rPr>
          <w:rFonts w:ascii="Times New Roman" w:eastAsia="Times New Roman" w:hAnsi="Times New Roman"/>
          <w:sz w:val="22"/>
          <w:szCs w:val="22"/>
          <w:lang w:eastAsia="en-US"/>
        </w:rPr>
        <w:t xml:space="preserve">clustering and threshold (ranges) </w:t>
      </w:r>
      <w:r w:rsidR="008D044F">
        <w:rPr>
          <w:rFonts w:ascii="Times New Roman" w:eastAsia="Times New Roman" w:hAnsi="Times New Roman"/>
          <w:sz w:val="22"/>
          <w:szCs w:val="22"/>
          <w:lang w:eastAsia="en-US"/>
        </w:rPr>
        <w:t>that</w:t>
      </w:r>
      <w:r w:rsidR="00B261D6">
        <w:rPr>
          <w:rFonts w:ascii="Times New Roman" w:eastAsia="Times New Roman" w:hAnsi="Times New Roman"/>
          <w:sz w:val="22"/>
          <w:szCs w:val="22"/>
          <w:lang w:eastAsia="en-US"/>
        </w:rPr>
        <w:t xml:space="preserve"> were </w:t>
      </w:r>
      <w:r w:rsidR="0099185C">
        <w:rPr>
          <w:rFonts w:ascii="Times New Roman" w:eastAsia="Times New Roman" w:hAnsi="Times New Roman"/>
          <w:sz w:val="22"/>
          <w:szCs w:val="22"/>
          <w:lang w:eastAsia="en-US"/>
        </w:rPr>
        <w:t xml:space="preserve">independently </w:t>
      </w:r>
      <w:r w:rsidR="00B261D6">
        <w:rPr>
          <w:rFonts w:ascii="Times New Roman" w:eastAsia="Times New Roman" w:hAnsi="Times New Roman"/>
          <w:sz w:val="22"/>
          <w:szCs w:val="22"/>
          <w:lang w:eastAsia="en-US"/>
        </w:rPr>
        <w:t xml:space="preserve">supported by several datasets were selected </w:t>
      </w:r>
      <w:r w:rsidR="00B261D6" w:rsidRPr="00B261D6">
        <w:rPr>
          <w:rFonts w:ascii="Times New Roman" w:eastAsia="Times New Roman" w:hAnsi="Times New Roman"/>
          <w:sz w:val="22"/>
          <w:szCs w:val="22"/>
          <w:lang w:eastAsia="en-US"/>
        </w:rPr>
        <w:t>for setting demarcation criteria</w:t>
      </w:r>
      <w:r w:rsidR="00B261D6">
        <w:rPr>
          <w:rFonts w:ascii="Times New Roman" w:eastAsia="Times New Roman" w:hAnsi="Times New Roman"/>
          <w:sz w:val="22"/>
          <w:szCs w:val="22"/>
          <w:lang w:eastAsia="en-US"/>
        </w:rPr>
        <w:t xml:space="preserve"> of a rank</w:t>
      </w:r>
      <w:r w:rsidR="008D044F">
        <w:rPr>
          <w:rFonts w:ascii="Times New Roman" w:eastAsia="Times New Roman" w:hAnsi="Times New Roman"/>
          <w:sz w:val="22"/>
          <w:szCs w:val="22"/>
          <w:lang w:eastAsia="en-US"/>
        </w:rPr>
        <w:t xml:space="preserve"> because </w:t>
      </w:r>
      <w:r w:rsidR="00E46876">
        <w:rPr>
          <w:rFonts w:ascii="Times New Roman" w:eastAsia="Times New Roman" w:hAnsi="Times New Roman"/>
          <w:sz w:val="22"/>
          <w:szCs w:val="22"/>
          <w:lang w:eastAsia="en-US"/>
        </w:rPr>
        <w:t xml:space="preserve">these assignments were </w:t>
      </w:r>
      <w:r w:rsidR="008D044F">
        <w:rPr>
          <w:rFonts w:ascii="Times New Roman" w:eastAsia="Times New Roman" w:hAnsi="Times New Roman"/>
          <w:sz w:val="22"/>
          <w:szCs w:val="22"/>
          <w:lang w:eastAsia="en-US"/>
        </w:rPr>
        <w:t xml:space="preserve">considered </w:t>
      </w:r>
      <w:r w:rsidR="00E46876">
        <w:rPr>
          <w:rFonts w:ascii="Times New Roman" w:eastAsia="Times New Roman" w:hAnsi="Times New Roman"/>
          <w:sz w:val="22"/>
          <w:szCs w:val="22"/>
          <w:lang w:eastAsia="en-US"/>
        </w:rPr>
        <w:t>less likely to be fortuitous due to biased virus sampling and/or domain selection</w:t>
      </w:r>
      <w:r w:rsidR="00B261D6">
        <w:rPr>
          <w:rFonts w:ascii="Times New Roman" w:eastAsia="Times New Roman" w:hAnsi="Times New Roman"/>
          <w:sz w:val="22"/>
          <w:szCs w:val="22"/>
          <w:lang w:eastAsia="en-US"/>
        </w:rPr>
        <w:t>.</w:t>
      </w:r>
    </w:p>
    <w:p w14:paraId="28C2BA1E" w14:textId="77777777" w:rsidR="00B261D6" w:rsidRDefault="00B261D6" w:rsidP="00926A4D">
      <w:pPr>
        <w:pStyle w:val="BodyTextIndent"/>
        <w:ind w:left="0" w:firstLine="0"/>
        <w:rPr>
          <w:rFonts w:ascii="Times New Roman" w:hAnsi="Times New Roman"/>
          <w:color w:val="000000"/>
          <w:sz w:val="22"/>
          <w:szCs w:val="22"/>
        </w:rPr>
      </w:pPr>
    </w:p>
    <w:p w14:paraId="516AD109" w14:textId="08C3732B" w:rsidR="003E1660" w:rsidRPr="003E1660" w:rsidRDefault="003E1660" w:rsidP="003E1660">
      <w:pPr>
        <w:jc w:val="both"/>
        <w:rPr>
          <w:rFonts w:eastAsia="Times"/>
          <w:color w:val="000000"/>
          <w:sz w:val="22"/>
          <w:szCs w:val="22"/>
          <w:lang w:eastAsia="en-GB"/>
        </w:rPr>
      </w:pPr>
      <w:r w:rsidRPr="003E1660">
        <w:rPr>
          <w:rFonts w:eastAsia="Times"/>
          <w:color w:val="000000"/>
          <w:sz w:val="22"/>
          <w:szCs w:val="22"/>
          <w:lang w:eastAsia="en-GB"/>
        </w:rPr>
        <w:t xml:space="preserve">The initial assignment of genome sequences to nidoviruses or their subset was produced using either </w:t>
      </w:r>
      <w:r w:rsidR="00E97286">
        <w:rPr>
          <w:rFonts w:eastAsia="Times"/>
          <w:color w:val="000000"/>
          <w:sz w:val="22"/>
          <w:szCs w:val="22"/>
          <w:lang w:eastAsia="en-GB"/>
        </w:rPr>
        <w:t xml:space="preserve">the </w:t>
      </w:r>
      <w:r w:rsidRPr="003E1660">
        <w:rPr>
          <w:rFonts w:eastAsia="Times"/>
          <w:color w:val="000000"/>
          <w:sz w:val="22"/>
          <w:szCs w:val="22"/>
          <w:lang w:eastAsia="en-GB"/>
        </w:rPr>
        <w:t>Haygens tool (</w:t>
      </w:r>
      <w:hyperlink r:id="rId9" w:history="1">
        <w:r w:rsidRPr="003E1660">
          <w:rPr>
            <w:rFonts w:eastAsia="Times"/>
            <w:color w:val="0000FF"/>
            <w:sz w:val="22"/>
            <w:szCs w:val="22"/>
            <w:u w:val="single"/>
            <w:lang w:eastAsia="en-GB"/>
          </w:rPr>
          <w:t>http://veb.lumc.nl/HAYGENS/</w:t>
        </w:r>
      </w:hyperlink>
      <w:r w:rsidRPr="003E1660">
        <w:rPr>
          <w:rFonts w:eastAsia="Times"/>
          <w:color w:val="000000"/>
          <w:sz w:val="22"/>
          <w:szCs w:val="22"/>
          <w:lang w:eastAsia="en-GB"/>
        </w:rPr>
        <w:t xml:space="preserve"> ) or by authors who described these viruses. These assignments were subsequently verified in the conducted study through the delineation of an array of five replicative protein domains characteristic of nidoviruses (synteny of molecular markers), including 3CLpro, NiRAN, RdRp, ZBD and HEL1, and phylogenetic analysis. Nine (sub)groups of nidoviruses of different virus divergence, from separate subfamily to the entire order were analyzed (bottom panel of </w:t>
      </w:r>
      <w:r w:rsidRPr="003E1660">
        <w:rPr>
          <w:rFonts w:eastAsia="Times"/>
          <w:b/>
          <w:color w:val="000000"/>
          <w:sz w:val="22"/>
          <w:szCs w:val="22"/>
          <w:lang w:eastAsia="en-GB"/>
        </w:rPr>
        <w:t>Fig. 1</w:t>
      </w:r>
      <w:r w:rsidRPr="003E1660">
        <w:rPr>
          <w:rFonts w:eastAsia="Times"/>
          <w:color w:val="000000"/>
          <w:sz w:val="22"/>
          <w:szCs w:val="22"/>
          <w:lang w:eastAsia="en-GB"/>
        </w:rPr>
        <w:t>). For each group, from three to four MSA</w:t>
      </w:r>
      <w:r w:rsidR="00E0008B">
        <w:rPr>
          <w:rFonts w:eastAsia="Times"/>
          <w:color w:val="000000"/>
          <w:sz w:val="22"/>
          <w:szCs w:val="22"/>
          <w:lang w:eastAsia="en-GB"/>
        </w:rPr>
        <w:t>s</w:t>
      </w:r>
      <w:r w:rsidRPr="003E1660">
        <w:rPr>
          <w:rFonts w:eastAsia="Times"/>
          <w:color w:val="000000"/>
          <w:sz w:val="22"/>
          <w:szCs w:val="22"/>
          <w:lang w:eastAsia="en-GB"/>
        </w:rPr>
        <w:t xml:space="preserve"> of concatenated replicative domains including from </w:t>
      </w:r>
      <w:r w:rsidR="004F0210">
        <w:rPr>
          <w:rFonts w:eastAsia="Times"/>
          <w:color w:val="000000"/>
          <w:sz w:val="22"/>
          <w:szCs w:val="22"/>
          <w:lang w:eastAsia="en-GB"/>
        </w:rPr>
        <w:t>1</w:t>
      </w:r>
      <w:r w:rsidR="004F0210" w:rsidRPr="003E1660">
        <w:rPr>
          <w:rFonts w:eastAsia="Times"/>
          <w:color w:val="000000"/>
          <w:sz w:val="22"/>
          <w:szCs w:val="22"/>
          <w:lang w:eastAsia="en-GB"/>
        </w:rPr>
        <w:t xml:space="preserve"> </w:t>
      </w:r>
      <w:r w:rsidRPr="003E1660">
        <w:rPr>
          <w:rFonts w:eastAsia="Times"/>
          <w:color w:val="000000"/>
          <w:sz w:val="22"/>
          <w:szCs w:val="22"/>
          <w:lang w:eastAsia="en-GB"/>
        </w:rPr>
        <w:t>to 18 domains conserved in a group (</w:t>
      </w:r>
      <w:r w:rsidRPr="003E1660">
        <w:rPr>
          <w:rFonts w:eastAsia="Times"/>
          <w:b/>
          <w:color w:val="000000"/>
          <w:sz w:val="22"/>
          <w:szCs w:val="22"/>
          <w:lang w:eastAsia="en-GB"/>
        </w:rPr>
        <w:t>Fig. 2</w:t>
      </w:r>
      <w:r w:rsidRPr="003E1660">
        <w:rPr>
          <w:rFonts w:eastAsia="Times"/>
          <w:color w:val="000000"/>
          <w:sz w:val="22"/>
          <w:szCs w:val="22"/>
          <w:lang w:eastAsia="en-GB"/>
        </w:rPr>
        <w:t xml:space="preserve">), in total 29 MSAs, were generated and submitted to phylogenetic and DEmARC analyses. These analyses assessed </w:t>
      </w:r>
      <w:r w:rsidR="008D044F">
        <w:rPr>
          <w:rFonts w:eastAsia="Times"/>
          <w:color w:val="000000"/>
          <w:sz w:val="22"/>
          <w:szCs w:val="22"/>
          <w:lang w:eastAsia="en-GB"/>
        </w:rPr>
        <w:t xml:space="preserve">the </w:t>
      </w:r>
      <w:r w:rsidRPr="003E1660">
        <w:rPr>
          <w:rFonts w:eastAsia="Times"/>
          <w:color w:val="000000"/>
          <w:sz w:val="22"/>
          <w:szCs w:val="22"/>
          <w:lang w:eastAsia="en-GB"/>
        </w:rPr>
        <w:t xml:space="preserve">support for monophyletic clusters, levels and clusters of classification, agreement between phylogeny and classification for each virus group, and inter-group agreement regarding classification levels. </w:t>
      </w:r>
    </w:p>
    <w:p w14:paraId="09E232B2" w14:textId="77777777" w:rsidR="0099185C" w:rsidRDefault="0099185C" w:rsidP="00926A4D">
      <w:pPr>
        <w:pStyle w:val="BodyTextIndent"/>
        <w:ind w:left="0" w:firstLine="0"/>
        <w:rPr>
          <w:rFonts w:ascii="Times New Roman" w:hAnsi="Times New Roman"/>
          <w:color w:val="000000"/>
          <w:sz w:val="22"/>
          <w:szCs w:val="22"/>
        </w:rPr>
      </w:pPr>
    </w:p>
    <w:p w14:paraId="45BF83C5" w14:textId="3D568ADC" w:rsidR="00727159" w:rsidRDefault="00D925EC" w:rsidP="00053D84">
      <w:pPr>
        <w:pStyle w:val="BodyTextIndent"/>
        <w:ind w:left="0" w:firstLine="0"/>
        <w:jc w:val="both"/>
        <w:rPr>
          <w:rFonts w:ascii="Times New Roman" w:hAnsi="Times New Roman"/>
          <w:color w:val="000000"/>
          <w:sz w:val="22"/>
          <w:szCs w:val="22"/>
        </w:rPr>
      </w:pPr>
      <w:r>
        <w:rPr>
          <w:rFonts w:ascii="Times New Roman" w:hAnsi="Times New Roman"/>
          <w:color w:val="000000"/>
          <w:sz w:val="22"/>
          <w:szCs w:val="22"/>
        </w:rPr>
        <w:t xml:space="preserve">For this proposal, we used </w:t>
      </w:r>
      <w:r w:rsidR="008D044F">
        <w:rPr>
          <w:rFonts w:ascii="Times New Roman" w:hAnsi="Times New Roman"/>
          <w:color w:val="000000"/>
          <w:sz w:val="22"/>
          <w:szCs w:val="22"/>
        </w:rPr>
        <w:t xml:space="preserve">the </w:t>
      </w:r>
      <w:r>
        <w:rPr>
          <w:rFonts w:ascii="Times New Roman" w:hAnsi="Times New Roman"/>
          <w:color w:val="000000"/>
          <w:sz w:val="22"/>
          <w:szCs w:val="22"/>
        </w:rPr>
        <w:t xml:space="preserve">results obtained with 12 datasets for </w:t>
      </w:r>
      <w:r w:rsidR="00D16093">
        <w:rPr>
          <w:rFonts w:ascii="Times New Roman" w:hAnsi="Times New Roman"/>
          <w:color w:val="000000"/>
          <w:sz w:val="22"/>
          <w:szCs w:val="22"/>
        </w:rPr>
        <w:t>five</w:t>
      </w:r>
      <w:r>
        <w:rPr>
          <w:rFonts w:ascii="Times New Roman" w:hAnsi="Times New Roman"/>
          <w:color w:val="000000"/>
          <w:sz w:val="22"/>
          <w:szCs w:val="22"/>
        </w:rPr>
        <w:t xml:space="preserve"> </w:t>
      </w:r>
      <w:r w:rsidR="00D54045">
        <w:rPr>
          <w:rFonts w:ascii="Times New Roman" w:hAnsi="Times New Roman"/>
          <w:color w:val="000000"/>
          <w:sz w:val="22"/>
          <w:szCs w:val="22"/>
        </w:rPr>
        <w:t xml:space="preserve">highly </w:t>
      </w:r>
      <w:r>
        <w:rPr>
          <w:rFonts w:ascii="Times New Roman" w:hAnsi="Times New Roman"/>
          <w:color w:val="000000"/>
          <w:sz w:val="22"/>
          <w:szCs w:val="22"/>
        </w:rPr>
        <w:t>diverse groups, including</w:t>
      </w:r>
      <w:r w:rsidR="00C65CC1">
        <w:rPr>
          <w:rFonts w:ascii="Times New Roman" w:hAnsi="Times New Roman"/>
          <w:color w:val="000000"/>
          <w:sz w:val="22"/>
          <w:szCs w:val="22"/>
        </w:rPr>
        <w:t xml:space="preserve">: 1) </w:t>
      </w:r>
      <w:r>
        <w:rPr>
          <w:rFonts w:ascii="Times New Roman" w:hAnsi="Times New Roman"/>
          <w:color w:val="000000"/>
          <w:sz w:val="22"/>
          <w:szCs w:val="22"/>
        </w:rPr>
        <w:t xml:space="preserve">Invertebrate nidoviruses (families </w:t>
      </w:r>
      <w:r w:rsidRPr="00D16093">
        <w:rPr>
          <w:rFonts w:ascii="Times New Roman" w:hAnsi="Times New Roman"/>
          <w:i/>
          <w:color w:val="000000"/>
          <w:sz w:val="22"/>
          <w:szCs w:val="22"/>
        </w:rPr>
        <w:t>Mesoniviridae</w:t>
      </w:r>
      <w:r>
        <w:rPr>
          <w:rFonts w:ascii="Times New Roman" w:hAnsi="Times New Roman"/>
          <w:color w:val="000000"/>
          <w:sz w:val="22"/>
          <w:szCs w:val="22"/>
        </w:rPr>
        <w:t xml:space="preserve"> and </w:t>
      </w:r>
      <w:r w:rsidRPr="00D16093">
        <w:rPr>
          <w:rFonts w:ascii="Times New Roman" w:hAnsi="Times New Roman"/>
          <w:i/>
          <w:color w:val="000000"/>
          <w:sz w:val="22"/>
          <w:szCs w:val="22"/>
        </w:rPr>
        <w:t>Roniviridae</w:t>
      </w:r>
      <w:r>
        <w:rPr>
          <w:rFonts w:ascii="Times New Roman" w:hAnsi="Times New Roman"/>
          <w:color w:val="000000"/>
          <w:sz w:val="22"/>
          <w:szCs w:val="22"/>
        </w:rPr>
        <w:t>, and unclassified invertebrate nidoviruses</w:t>
      </w:r>
      <w:r w:rsidR="003E1660">
        <w:rPr>
          <w:rFonts w:ascii="Times New Roman" w:hAnsi="Times New Roman"/>
          <w:color w:val="000000"/>
          <w:sz w:val="22"/>
          <w:szCs w:val="22"/>
        </w:rPr>
        <w:t>, Inv group</w:t>
      </w:r>
      <w:r>
        <w:rPr>
          <w:rFonts w:ascii="Times New Roman" w:hAnsi="Times New Roman"/>
          <w:color w:val="000000"/>
          <w:sz w:val="22"/>
          <w:szCs w:val="22"/>
        </w:rPr>
        <w:t xml:space="preserve">); 2) </w:t>
      </w:r>
      <w:r w:rsidR="005364E1">
        <w:rPr>
          <w:rFonts w:ascii="Times New Roman" w:hAnsi="Times New Roman"/>
          <w:color w:val="000000"/>
          <w:sz w:val="22"/>
          <w:szCs w:val="22"/>
        </w:rPr>
        <w:t xml:space="preserve">the </w:t>
      </w:r>
      <w:r w:rsidR="003E1660">
        <w:rPr>
          <w:rFonts w:ascii="Times New Roman" w:hAnsi="Times New Roman"/>
          <w:color w:val="000000"/>
          <w:sz w:val="22"/>
          <w:szCs w:val="22"/>
        </w:rPr>
        <w:t xml:space="preserve">current </w:t>
      </w:r>
      <w:r w:rsidR="00C65CC1">
        <w:rPr>
          <w:rFonts w:ascii="Times New Roman" w:hAnsi="Times New Roman"/>
          <w:color w:val="000000"/>
          <w:sz w:val="22"/>
          <w:szCs w:val="22"/>
        </w:rPr>
        <w:t xml:space="preserve">family </w:t>
      </w:r>
      <w:r w:rsidR="00C65CC1" w:rsidRPr="00D16093">
        <w:rPr>
          <w:rFonts w:ascii="Times New Roman" w:hAnsi="Times New Roman"/>
          <w:i/>
          <w:color w:val="000000"/>
          <w:sz w:val="22"/>
          <w:szCs w:val="22"/>
        </w:rPr>
        <w:t>Coronaviridae</w:t>
      </w:r>
      <w:r w:rsidR="00C65CC1">
        <w:rPr>
          <w:rFonts w:ascii="Times New Roman" w:hAnsi="Times New Roman"/>
          <w:color w:val="000000"/>
          <w:sz w:val="22"/>
          <w:szCs w:val="22"/>
        </w:rPr>
        <w:t xml:space="preserve"> (subfamily </w:t>
      </w:r>
      <w:r w:rsidR="00C65CC1" w:rsidRPr="00D16093">
        <w:rPr>
          <w:rFonts w:ascii="Times New Roman" w:hAnsi="Times New Roman"/>
          <w:i/>
          <w:color w:val="000000"/>
          <w:sz w:val="22"/>
          <w:szCs w:val="22"/>
        </w:rPr>
        <w:t>Coronavirinae</w:t>
      </w:r>
      <w:r w:rsidR="00C65CC1">
        <w:rPr>
          <w:rFonts w:ascii="Times New Roman" w:hAnsi="Times New Roman"/>
          <w:color w:val="000000"/>
          <w:sz w:val="22"/>
          <w:szCs w:val="22"/>
        </w:rPr>
        <w:t xml:space="preserve"> and subfamily </w:t>
      </w:r>
      <w:r w:rsidR="00C65CC1" w:rsidRPr="00D16093">
        <w:rPr>
          <w:rFonts w:ascii="Times New Roman" w:hAnsi="Times New Roman"/>
          <w:i/>
          <w:color w:val="000000"/>
          <w:sz w:val="22"/>
          <w:szCs w:val="22"/>
        </w:rPr>
        <w:t>Torovirinae</w:t>
      </w:r>
      <w:r w:rsidR="003E1660">
        <w:rPr>
          <w:rFonts w:ascii="Times New Roman" w:hAnsi="Times New Roman"/>
          <w:i/>
          <w:color w:val="000000"/>
          <w:sz w:val="22"/>
          <w:szCs w:val="22"/>
        </w:rPr>
        <w:t xml:space="preserve">, </w:t>
      </w:r>
      <w:r w:rsidR="003E1660" w:rsidRPr="00686DF8">
        <w:rPr>
          <w:rFonts w:ascii="Times New Roman" w:hAnsi="Times New Roman"/>
          <w:color w:val="000000"/>
          <w:sz w:val="22"/>
          <w:szCs w:val="22"/>
        </w:rPr>
        <w:t>Co</w:t>
      </w:r>
      <w:r w:rsidR="003E1660">
        <w:rPr>
          <w:rFonts w:ascii="Times New Roman" w:hAnsi="Times New Roman"/>
          <w:color w:val="000000"/>
          <w:sz w:val="22"/>
          <w:szCs w:val="22"/>
        </w:rPr>
        <w:t>T</w:t>
      </w:r>
      <w:r w:rsidR="003E1660" w:rsidRPr="00686DF8">
        <w:rPr>
          <w:rFonts w:ascii="Times New Roman" w:hAnsi="Times New Roman"/>
          <w:color w:val="000000"/>
          <w:sz w:val="22"/>
          <w:szCs w:val="22"/>
        </w:rPr>
        <w:t>o group</w:t>
      </w:r>
      <w:r w:rsidR="00C65CC1">
        <w:rPr>
          <w:rFonts w:ascii="Times New Roman" w:hAnsi="Times New Roman"/>
          <w:color w:val="000000"/>
          <w:sz w:val="22"/>
          <w:szCs w:val="22"/>
        </w:rPr>
        <w:t xml:space="preserve">); </w:t>
      </w:r>
      <w:r>
        <w:rPr>
          <w:rFonts w:ascii="Times New Roman" w:hAnsi="Times New Roman"/>
          <w:color w:val="000000"/>
          <w:sz w:val="22"/>
          <w:szCs w:val="22"/>
        </w:rPr>
        <w:t>3</w:t>
      </w:r>
      <w:r w:rsidR="00C65CC1">
        <w:rPr>
          <w:rFonts w:ascii="Times New Roman" w:hAnsi="Times New Roman"/>
          <w:color w:val="000000"/>
          <w:sz w:val="22"/>
          <w:szCs w:val="22"/>
        </w:rPr>
        <w:t xml:space="preserve">) </w:t>
      </w:r>
      <w:r w:rsidR="00D16093">
        <w:rPr>
          <w:rFonts w:ascii="Times New Roman" w:hAnsi="Times New Roman"/>
          <w:color w:val="000000"/>
          <w:sz w:val="22"/>
          <w:szCs w:val="22"/>
        </w:rPr>
        <w:t xml:space="preserve">ExoN-encoding viruses of the order </w:t>
      </w:r>
      <w:r w:rsidR="00D16093" w:rsidRPr="00D16093">
        <w:rPr>
          <w:rFonts w:ascii="Times New Roman" w:hAnsi="Times New Roman"/>
          <w:i/>
          <w:color w:val="000000"/>
          <w:sz w:val="22"/>
          <w:szCs w:val="22"/>
        </w:rPr>
        <w:t>Nidovirales</w:t>
      </w:r>
      <w:r w:rsidR="00D16093">
        <w:rPr>
          <w:rFonts w:ascii="Times New Roman" w:hAnsi="Times New Roman"/>
          <w:color w:val="000000"/>
          <w:sz w:val="22"/>
          <w:szCs w:val="22"/>
        </w:rPr>
        <w:t xml:space="preserve"> (</w:t>
      </w:r>
      <w:r w:rsidR="00C65CC1">
        <w:rPr>
          <w:rFonts w:ascii="Times New Roman" w:hAnsi="Times New Roman"/>
          <w:color w:val="000000"/>
          <w:sz w:val="22"/>
          <w:szCs w:val="22"/>
        </w:rPr>
        <w:t xml:space="preserve">family </w:t>
      </w:r>
      <w:r w:rsidRPr="00D16093">
        <w:rPr>
          <w:rFonts w:ascii="Times New Roman" w:hAnsi="Times New Roman"/>
          <w:i/>
          <w:color w:val="000000"/>
          <w:sz w:val="22"/>
          <w:szCs w:val="22"/>
        </w:rPr>
        <w:t>Coronaviridae</w:t>
      </w:r>
      <w:r>
        <w:rPr>
          <w:rFonts w:ascii="Times New Roman" w:hAnsi="Times New Roman"/>
          <w:color w:val="000000"/>
          <w:sz w:val="22"/>
          <w:szCs w:val="22"/>
        </w:rPr>
        <w:t xml:space="preserve"> + Invertebrate nidoviruses</w:t>
      </w:r>
      <w:r w:rsidR="003E1660">
        <w:rPr>
          <w:rFonts w:ascii="Times New Roman" w:hAnsi="Times New Roman"/>
          <w:color w:val="000000"/>
          <w:sz w:val="22"/>
          <w:szCs w:val="22"/>
        </w:rPr>
        <w:t>, CTI group</w:t>
      </w:r>
      <w:r w:rsidR="004E339C">
        <w:rPr>
          <w:rFonts w:ascii="Times New Roman" w:hAnsi="Times New Roman"/>
          <w:color w:val="000000"/>
          <w:sz w:val="22"/>
          <w:szCs w:val="22"/>
        </w:rPr>
        <w:t>)</w:t>
      </w:r>
      <w:r>
        <w:rPr>
          <w:rFonts w:ascii="Times New Roman" w:hAnsi="Times New Roman"/>
          <w:color w:val="000000"/>
          <w:sz w:val="22"/>
          <w:szCs w:val="22"/>
        </w:rPr>
        <w:t xml:space="preserve">; 4) </w:t>
      </w:r>
      <w:r w:rsidR="00D16093">
        <w:rPr>
          <w:rFonts w:ascii="Times New Roman" w:hAnsi="Times New Roman"/>
          <w:color w:val="000000"/>
          <w:sz w:val="22"/>
          <w:szCs w:val="22"/>
        </w:rPr>
        <w:t xml:space="preserve">all viruses of </w:t>
      </w:r>
      <w:r w:rsidR="005364E1">
        <w:rPr>
          <w:rFonts w:ascii="Times New Roman" w:hAnsi="Times New Roman"/>
          <w:color w:val="000000"/>
          <w:sz w:val="22"/>
          <w:szCs w:val="22"/>
        </w:rPr>
        <w:t xml:space="preserve">the </w:t>
      </w:r>
      <w:r>
        <w:rPr>
          <w:rFonts w:ascii="Times New Roman" w:hAnsi="Times New Roman"/>
          <w:color w:val="000000"/>
          <w:sz w:val="22"/>
          <w:szCs w:val="22"/>
        </w:rPr>
        <w:t xml:space="preserve">order </w:t>
      </w:r>
      <w:r w:rsidRPr="00D16093">
        <w:rPr>
          <w:rFonts w:ascii="Times New Roman" w:hAnsi="Times New Roman"/>
          <w:i/>
          <w:color w:val="000000"/>
          <w:sz w:val="22"/>
          <w:szCs w:val="22"/>
        </w:rPr>
        <w:t>Nidovirales</w:t>
      </w:r>
      <w:r>
        <w:rPr>
          <w:rFonts w:ascii="Times New Roman" w:hAnsi="Times New Roman"/>
          <w:color w:val="000000"/>
          <w:sz w:val="22"/>
          <w:szCs w:val="22"/>
        </w:rPr>
        <w:t xml:space="preserve"> (</w:t>
      </w:r>
      <w:r w:rsidR="00D16093">
        <w:rPr>
          <w:rFonts w:ascii="Times New Roman" w:hAnsi="Times New Roman"/>
          <w:color w:val="000000"/>
          <w:sz w:val="22"/>
          <w:szCs w:val="22"/>
        </w:rPr>
        <w:t xml:space="preserve">the family </w:t>
      </w:r>
      <w:r w:rsidR="00D16093" w:rsidRPr="00D16093">
        <w:rPr>
          <w:rFonts w:ascii="Times New Roman" w:hAnsi="Times New Roman"/>
          <w:i/>
          <w:color w:val="000000"/>
          <w:sz w:val="22"/>
          <w:szCs w:val="22"/>
        </w:rPr>
        <w:t>Arteriviridae</w:t>
      </w:r>
      <w:r w:rsidR="00D16093">
        <w:rPr>
          <w:rFonts w:ascii="Times New Roman" w:hAnsi="Times New Roman"/>
          <w:color w:val="000000"/>
          <w:sz w:val="22"/>
          <w:szCs w:val="22"/>
        </w:rPr>
        <w:t xml:space="preserve"> +</w:t>
      </w:r>
      <w:r w:rsidR="00C65CC1">
        <w:rPr>
          <w:rFonts w:ascii="Times New Roman" w:hAnsi="Times New Roman"/>
          <w:color w:val="000000"/>
          <w:sz w:val="22"/>
          <w:szCs w:val="22"/>
        </w:rPr>
        <w:t xml:space="preserve"> </w:t>
      </w:r>
      <w:r w:rsidR="00D16093">
        <w:rPr>
          <w:rFonts w:ascii="Times New Roman" w:hAnsi="Times New Roman"/>
          <w:color w:val="000000"/>
          <w:sz w:val="22"/>
          <w:szCs w:val="22"/>
        </w:rPr>
        <w:t xml:space="preserve">family </w:t>
      </w:r>
      <w:r w:rsidR="00D16093" w:rsidRPr="00D16093">
        <w:rPr>
          <w:rFonts w:ascii="Times New Roman" w:hAnsi="Times New Roman"/>
          <w:i/>
          <w:color w:val="000000"/>
          <w:sz w:val="22"/>
          <w:szCs w:val="22"/>
        </w:rPr>
        <w:t>Coronaviridae</w:t>
      </w:r>
      <w:r w:rsidR="00D16093">
        <w:rPr>
          <w:rFonts w:ascii="Times New Roman" w:hAnsi="Times New Roman"/>
          <w:color w:val="000000"/>
          <w:sz w:val="22"/>
          <w:szCs w:val="22"/>
        </w:rPr>
        <w:t xml:space="preserve"> + Invertebrate nidoviruses</w:t>
      </w:r>
      <w:r w:rsidR="003E1660">
        <w:rPr>
          <w:rFonts w:ascii="Times New Roman" w:hAnsi="Times New Roman"/>
          <w:color w:val="000000"/>
          <w:sz w:val="22"/>
          <w:szCs w:val="22"/>
        </w:rPr>
        <w:t>, ACTI group</w:t>
      </w:r>
      <w:r w:rsidR="00D16093">
        <w:rPr>
          <w:rFonts w:ascii="Times New Roman" w:hAnsi="Times New Roman"/>
          <w:color w:val="000000"/>
          <w:sz w:val="22"/>
          <w:szCs w:val="22"/>
        </w:rPr>
        <w:t xml:space="preserve">); 5) all viruses of </w:t>
      </w:r>
      <w:r w:rsidR="00D54045">
        <w:rPr>
          <w:rFonts w:ascii="Times New Roman" w:hAnsi="Times New Roman"/>
          <w:color w:val="000000"/>
          <w:sz w:val="22"/>
          <w:szCs w:val="22"/>
        </w:rPr>
        <w:t xml:space="preserve">the </w:t>
      </w:r>
      <w:r w:rsidR="00D16093">
        <w:rPr>
          <w:rFonts w:ascii="Times New Roman" w:hAnsi="Times New Roman"/>
          <w:color w:val="000000"/>
          <w:sz w:val="22"/>
          <w:szCs w:val="22"/>
        </w:rPr>
        <w:t xml:space="preserve">order </w:t>
      </w:r>
      <w:r w:rsidR="00D16093" w:rsidRPr="00D16093">
        <w:rPr>
          <w:rFonts w:ascii="Times New Roman" w:hAnsi="Times New Roman"/>
          <w:i/>
          <w:color w:val="000000"/>
          <w:sz w:val="22"/>
          <w:szCs w:val="22"/>
        </w:rPr>
        <w:t>Nidovirales</w:t>
      </w:r>
      <w:r w:rsidR="00D16093">
        <w:rPr>
          <w:rFonts w:ascii="Times New Roman" w:hAnsi="Times New Roman"/>
          <w:color w:val="000000"/>
          <w:sz w:val="22"/>
          <w:szCs w:val="22"/>
        </w:rPr>
        <w:t xml:space="preserve"> plus three </w:t>
      </w:r>
      <w:r w:rsidR="00F937C6">
        <w:rPr>
          <w:rFonts w:ascii="Times New Roman" w:hAnsi="Times New Roman"/>
          <w:color w:val="000000"/>
          <w:sz w:val="22"/>
          <w:szCs w:val="22"/>
        </w:rPr>
        <w:t xml:space="preserve">unclassified invertebrate </w:t>
      </w:r>
      <w:r w:rsidR="00D16093">
        <w:rPr>
          <w:rFonts w:ascii="Times New Roman" w:hAnsi="Times New Roman"/>
          <w:color w:val="000000"/>
          <w:sz w:val="22"/>
          <w:szCs w:val="22"/>
        </w:rPr>
        <w:t xml:space="preserve">viruses that </w:t>
      </w:r>
      <w:r w:rsidR="00F937C6">
        <w:rPr>
          <w:rFonts w:ascii="Times New Roman" w:hAnsi="Times New Roman"/>
          <w:color w:val="000000"/>
          <w:sz w:val="22"/>
          <w:szCs w:val="22"/>
        </w:rPr>
        <w:t xml:space="preserve">uniquely </w:t>
      </w:r>
      <w:r w:rsidR="00D16093">
        <w:rPr>
          <w:rFonts w:ascii="Times New Roman" w:hAnsi="Times New Roman"/>
          <w:color w:val="000000"/>
          <w:sz w:val="22"/>
          <w:szCs w:val="22"/>
        </w:rPr>
        <w:t xml:space="preserve">share three key replicative enzymes, 3CLpro, RdRp, and HEL1, with nidoviruses and formed </w:t>
      </w:r>
      <w:r w:rsidR="004662D6">
        <w:rPr>
          <w:rFonts w:ascii="Times New Roman" w:hAnsi="Times New Roman"/>
          <w:color w:val="000000"/>
          <w:sz w:val="22"/>
          <w:szCs w:val="22"/>
        </w:rPr>
        <w:t xml:space="preserve">an </w:t>
      </w:r>
      <w:r w:rsidR="00D16093">
        <w:rPr>
          <w:rFonts w:ascii="Times New Roman" w:hAnsi="Times New Roman"/>
          <w:color w:val="000000"/>
          <w:sz w:val="22"/>
          <w:szCs w:val="22"/>
        </w:rPr>
        <w:t xml:space="preserve">outgroup in </w:t>
      </w:r>
      <w:r w:rsidR="004662D6">
        <w:rPr>
          <w:rFonts w:ascii="Times New Roman" w:hAnsi="Times New Roman"/>
          <w:color w:val="000000"/>
          <w:sz w:val="22"/>
          <w:szCs w:val="22"/>
        </w:rPr>
        <w:t xml:space="preserve">the </w:t>
      </w:r>
      <w:r w:rsidR="00D16093">
        <w:rPr>
          <w:rFonts w:ascii="Times New Roman" w:hAnsi="Times New Roman"/>
          <w:color w:val="000000"/>
          <w:sz w:val="22"/>
          <w:szCs w:val="22"/>
        </w:rPr>
        <w:t>phylogeny</w:t>
      </w:r>
      <w:r w:rsidR="00053D84">
        <w:rPr>
          <w:rFonts w:ascii="Times New Roman" w:hAnsi="Times New Roman"/>
          <w:color w:val="000000"/>
          <w:sz w:val="22"/>
          <w:szCs w:val="22"/>
        </w:rPr>
        <w:t>,</w:t>
      </w:r>
      <w:r w:rsidR="00053D84" w:rsidRPr="00686DF8">
        <w:rPr>
          <w:rFonts w:ascii="Times New Roman" w:hAnsi="Times New Roman"/>
          <w:color w:val="000000"/>
          <w:sz w:val="22"/>
          <w:szCs w:val="22"/>
        </w:rPr>
        <w:t xml:space="preserve"> </w:t>
      </w:r>
      <w:r w:rsidR="00053D84">
        <w:rPr>
          <w:rFonts w:ascii="Times New Roman" w:hAnsi="Times New Roman"/>
          <w:color w:val="000000"/>
          <w:sz w:val="22"/>
          <w:szCs w:val="22"/>
        </w:rPr>
        <w:t>PACTI group</w:t>
      </w:r>
      <w:r w:rsidR="00D16093">
        <w:rPr>
          <w:rFonts w:ascii="Times New Roman" w:hAnsi="Times New Roman"/>
          <w:color w:val="000000"/>
          <w:sz w:val="22"/>
          <w:szCs w:val="22"/>
        </w:rPr>
        <w:t xml:space="preserve">. </w:t>
      </w:r>
      <w:r w:rsidR="005364E1">
        <w:rPr>
          <w:rFonts w:ascii="Times New Roman" w:hAnsi="Times New Roman"/>
          <w:color w:val="000000"/>
          <w:sz w:val="22"/>
          <w:szCs w:val="22"/>
        </w:rPr>
        <w:t xml:space="preserve">They strongly (CC=0) supported delineation of seven and nine clusters (taxa) at </w:t>
      </w:r>
      <w:r w:rsidR="003F3FEA">
        <w:rPr>
          <w:rFonts w:ascii="Times New Roman" w:hAnsi="Times New Roman"/>
          <w:color w:val="000000"/>
          <w:sz w:val="22"/>
          <w:szCs w:val="22"/>
        </w:rPr>
        <w:t xml:space="preserve">two levels corresponding to </w:t>
      </w:r>
      <w:r w:rsidR="005364E1">
        <w:rPr>
          <w:rFonts w:ascii="Times New Roman" w:hAnsi="Times New Roman"/>
          <w:color w:val="000000"/>
          <w:sz w:val="22"/>
          <w:szCs w:val="22"/>
        </w:rPr>
        <w:t>the sub-order and family ranks, respectively. Most consistently</w:t>
      </w:r>
      <w:r w:rsidR="004662D6">
        <w:rPr>
          <w:rFonts w:ascii="Times New Roman" w:hAnsi="Times New Roman"/>
          <w:color w:val="000000"/>
          <w:sz w:val="22"/>
          <w:szCs w:val="22"/>
        </w:rPr>
        <w:t>,</w:t>
      </w:r>
      <w:r w:rsidR="005364E1">
        <w:rPr>
          <w:rFonts w:ascii="Times New Roman" w:hAnsi="Times New Roman"/>
          <w:color w:val="000000"/>
          <w:sz w:val="22"/>
          <w:szCs w:val="22"/>
        </w:rPr>
        <w:t xml:space="preserve"> this assignment was observed for MSA</w:t>
      </w:r>
      <w:r w:rsidR="003F3FEA">
        <w:rPr>
          <w:rFonts w:ascii="Times New Roman" w:hAnsi="Times New Roman"/>
          <w:color w:val="000000"/>
          <w:sz w:val="22"/>
          <w:szCs w:val="22"/>
        </w:rPr>
        <w:t>s</w:t>
      </w:r>
      <w:r w:rsidR="005364E1">
        <w:rPr>
          <w:rFonts w:ascii="Times New Roman" w:hAnsi="Times New Roman"/>
          <w:color w:val="000000"/>
          <w:sz w:val="22"/>
          <w:szCs w:val="22"/>
        </w:rPr>
        <w:t xml:space="preserve"> encompa</w:t>
      </w:r>
      <w:r w:rsidR="003F3FEA">
        <w:rPr>
          <w:rFonts w:ascii="Times New Roman" w:hAnsi="Times New Roman"/>
          <w:color w:val="000000"/>
          <w:sz w:val="22"/>
          <w:szCs w:val="22"/>
        </w:rPr>
        <w:t xml:space="preserve">ssing </w:t>
      </w:r>
      <w:r w:rsidR="00D54045">
        <w:rPr>
          <w:rFonts w:ascii="Times New Roman" w:hAnsi="Times New Roman"/>
          <w:color w:val="000000"/>
          <w:sz w:val="22"/>
          <w:szCs w:val="22"/>
        </w:rPr>
        <w:t xml:space="preserve">the </w:t>
      </w:r>
      <w:r w:rsidR="003F3FEA">
        <w:rPr>
          <w:rFonts w:ascii="Times New Roman" w:hAnsi="Times New Roman"/>
          <w:color w:val="000000"/>
          <w:sz w:val="22"/>
          <w:szCs w:val="22"/>
        </w:rPr>
        <w:t>five most conserved repli</w:t>
      </w:r>
      <w:r w:rsidR="005364E1">
        <w:rPr>
          <w:rFonts w:ascii="Times New Roman" w:hAnsi="Times New Roman"/>
          <w:color w:val="000000"/>
          <w:sz w:val="22"/>
          <w:szCs w:val="22"/>
        </w:rPr>
        <w:t>cative domains</w:t>
      </w:r>
      <w:r w:rsidR="001F4EAB">
        <w:rPr>
          <w:rFonts w:ascii="Times New Roman" w:hAnsi="Times New Roman"/>
          <w:color w:val="000000"/>
          <w:sz w:val="22"/>
          <w:szCs w:val="22"/>
        </w:rPr>
        <w:t xml:space="preserve"> (5d)</w:t>
      </w:r>
      <w:r w:rsidR="00121260">
        <w:rPr>
          <w:rFonts w:ascii="Times New Roman" w:hAnsi="Times New Roman"/>
          <w:color w:val="000000"/>
          <w:sz w:val="22"/>
          <w:szCs w:val="22"/>
        </w:rPr>
        <w:t xml:space="preserve">, 3CLpro, NiRAN, RdRp, ZBD and HEL1. </w:t>
      </w:r>
      <w:r w:rsidR="003F3FEA">
        <w:rPr>
          <w:rFonts w:ascii="Times New Roman" w:hAnsi="Times New Roman"/>
          <w:color w:val="000000"/>
          <w:sz w:val="22"/>
          <w:szCs w:val="22"/>
        </w:rPr>
        <w:t>At the sub-order ran</w:t>
      </w:r>
      <w:r w:rsidR="00B245C5">
        <w:rPr>
          <w:rFonts w:ascii="Times New Roman" w:hAnsi="Times New Roman"/>
          <w:color w:val="000000"/>
          <w:sz w:val="22"/>
          <w:szCs w:val="22"/>
        </w:rPr>
        <w:t>k</w:t>
      </w:r>
      <w:r w:rsidR="003F3FEA">
        <w:rPr>
          <w:rFonts w:ascii="Times New Roman" w:hAnsi="Times New Roman"/>
          <w:color w:val="000000"/>
          <w:sz w:val="22"/>
          <w:szCs w:val="22"/>
        </w:rPr>
        <w:t>, seven taxa, including three of vertebrate viruses and four of invertebrate viruses, were recognized</w:t>
      </w:r>
      <w:r w:rsidR="001F4EAB">
        <w:rPr>
          <w:rFonts w:ascii="Times New Roman" w:hAnsi="Times New Roman"/>
          <w:color w:val="000000"/>
          <w:sz w:val="22"/>
          <w:szCs w:val="22"/>
        </w:rPr>
        <w:t xml:space="preserve"> (</w:t>
      </w:r>
      <w:r w:rsidR="001F4EAB" w:rsidRPr="001F4EAB">
        <w:rPr>
          <w:rFonts w:ascii="Times New Roman" w:hAnsi="Times New Roman"/>
          <w:b/>
          <w:color w:val="000000"/>
          <w:sz w:val="22"/>
          <w:szCs w:val="22"/>
        </w:rPr>
        <w:t>Table 1</w:t>
      </w:r>
      <w:r w:rsidR="001F4EAB">
        <w:rPr>
          <w:rFonts w:ascii="Times New Roman" w:hAnsi="Times New Roman"/>
          <w:color w:val="000000"/>
          <w:sz w:val="22"/>
          <w:szCs w:val="22"/>
        </w:rPr>
        <w:t>)</w:t>
      </w:r>
      <w:r w:rsidR="003F3FEA">
        <w:rPr>
          <w:rFonts w:ascii="Times New Roman" w:hAnsi="Times New Roman"/>
          <w:color w:val="000000"/>
          <w:sz w:val="22"/>
          <w:szCs w:val="22"/>
        </w:rPr>
        <w:t xml:space="preserve">. At the family rank, nine taxa, including three of vertebrate viruses and six of invertebrate viruses, were recognized. </w:t>
      </w:r>
      <w:r w:rsidR="00121260">
        <w:rPr>
          <w:rFonts w:ascii="Times New Roman" w:hAnsi="Times New Roman"/>
          <w:color w:val="000000"/>
          <w:sz w:val="22"/>
          <w:szCs w:val="22"/>
        </w:rPr>
        <w:t xml:space="preserve">The respective results obtained for the </w:t>
      </w:r>
      <w:r w:rsidR="00053D84">
        <w:rPr>
          <w:rFonts w:ascii="Times New Roman" w:hAnsi="Times New Roman"/>
          <w:color w:val="000000"/>
          <w:sz w:val="22"/>
          <w:szCs w:val="22"/>
        </w:rPr>
        <w:t>ACTI group</w:t>
      </w:r>
      <w:r w:rsidR="00121260">
        <w:rPr>
          <w:rFonts w:ascii="Times New Roman" w:hAnsi="Times New Roman"/>
          <w:color w:val="000000"/>
          <w:sz w:val="22"/>
          <w:szCs w:val="22"/>
        </w:rPr>
        <w:t xml:space="preserve"> including </w:t>
      </w:r>
      <w:r w:rsidR="001F4EAB">
        <w:rPr>
          <w:rFonts w:ascii="Times New Roman" w:hAnsi="Times New Roman"/>
          <w:color w:val="000000"/>
          <w:sz w:val="22"/>
          <w:szCs w:val="22"/>
        </w:rPr>
        <w:t>virus representatives of</w:t>
      </w:r>
      <w:r w:rsidR="00121260">
        <w:rPr>
          <w:rFonts w:ascii="Times New Roman" w:hAnsi="Times New Roman"/>
          <w:color w:val="000000"/>
          <w:sz w:val="22"/>
          <w:szCs w:val="22"/>
        </w:rPr>
        <w:t xml:space="preserve"> </w:t>
      </w:r>
      <w:r w:rsidR="001F4EAB">
        <w:rPr>
          <w:rFonts w:ascii="Times New Roman" w:hAnsi="Times New Roman"/>
          <w:color w:val="000000"/>
          <w:sz w:val="22"/>
          <w:szCs w:val="22"/>
        </w:rPr>
        <w:t xml:space="preserve">all species </w:t>
      </w:r>
      <w:r w:rsidR="00121260">
        <w:rPr>
          <w:rFonts w:ascii="Times New Roman" w:hAnsi="Times New Roman"/>
          <w:color w:val="000000"/>
          <w:sz w:val="22"/>
          <w:szCs w:val="22"/>
        </w:rPr>
        <w:t xml:space="preserve">of the order </w:t>
      </w:r>
      <w:r w:rsidR="00121260" w:rsidRPr="00D16093">
        <w:rPr>
          <w:rFonts w:ascii="Times New Roman" w:hAnsi="Times New Roman"/>
          <w:i/>
          <w:color w:val="000000"/>
          <w:sz w:val="22"/>
          <w:szCs w:val="22"/>
        </w:rPr>
        <w:t>Nidovirales</w:t>
      </w:r>
      <w:r w:rsidR="00121260">
        <w:rPr>
          <w:rFonts w:ascii="Times New Roman" w:hAnsi="Times New Roman"/>
          <w:i/>
          <w:color w:val="000000"/>
          <w:sz w:val="22"/>
          <w:szCs w:val="22"/>
        </w:rPr>
        <w:t xml:space="preserve"> </w:t>
      </w:r>
      <w:r w:rsidR="00121260">
        <w:rPr>
          <w:rFonts w:ascii="Times New Roman" w:hAnsi="Times New Roman"/>
          <w:color w:val="000000"/>
          <w:sz w:val="22"/>
          <w:szCs w:val="22"/>
        </w:rPr>
        <w:t xml:space="preserve">are shown in </w:t>
      </w:r>
      <w:r w:rsidR="00B245C5" w:rsidRPr="00083711">
        <w:rPr>
          <w:rFonts w:ascii="Times New Roman" w:hAnsi="Times New Roman"/>
          <w:b/>
          <w:color w:val="000000"/>
          <w:sz w:val="22"/>
          <w:szCs w:val="22"/>
        </w:rPr>
        <w:t xml:space="preserve">Figs. </w:t>
      </w:r>
      <w:r w:rsidR="00053D84">
        <w:rPr>
          <w:rFonts w:ascii="Times New Roman" w:hAnsi="Times New Roman"/>
          <w:b/>
          <w:color w:val="000000"/>
          <w:sz w:val="22"/>
          <w:szCs w:val="22"/>
        </w:rPr>
        <w:t>3</w:t>
      </w:r>
      <w:r w:rsidR="00D9423A" w:rsidRPr="00083711">
        <w:rPr>
          <w:rFonts w:ascii="Times New Roman" w:hAnsi="Times New Roman"/>
          <w:b/>
          <w:color w:val="000000"/>
          <w:sz w:val="22"/>
          <w:szCs w:val="22"/>
        </w:rPr>
        <w:t>-</w:t>
      </w:r>
      <w:r w:rsidR="00053D84">
        <w:rPr>
          <w:rFonts w:ascii="Times New Roman" w:hAnsi="Times New Roman"/>
          <w:b/>
          <w:color w:val="000000"/>
          <w:sz w:val="22"/>
          <w:szCs w:val="22"/>
        </w:rPr>
        <w:t>4</w:t>
      </w:r>
      <w:r w:rsidR="00083711">
        <w:rPr>
          <w:rFonts w:ascii="Times New Roman" w:hAnsi="Times New Roman"/>
          <w:color w:val="000000"/>
          <w:sz w:val="22"/>
          <w:szCs w:val="22"/>
        </w:rPr>
        <w:t xml:space="preserve">. </w:t>
      </w:r>
      <w:r w:rsidR="00D54045">
        <w:rPr>
          <w:rFonts w:ascii="Times New Roman" w:hAnsi="Times New Roman"/>
          <w:color w:val="000000"/>
          <w:sz w:val="22"/>
          <w:szCs w:val="22"/>
        </w:rPr>
        <w:t>An o</w:t>
      </w:r>
      <w:r w:rsidR="00635B3B" w:rsidRPr="00635B3B">
        <w:rPr>
          <w:rFonts w:ascii="Times New Roman" w:hAnsi="Times New Roman"/>
          <w:color w:val="000000"/>
          <w:sz w:val="22"/>
          <w:szCs w:val="22"/>
        </w:rPr>
        <w:t xml:space="preserve">verview of </w:t>
      </w:r>
      <w:r w:rsidR="00D54045">
        <w:rPr>
          <w:rFonts w:ascii="Times New Roman" w:hAnsi="Times New Roman"/>
          <w:color w:val="000000"/>
          <w:sz w:val="22"/>
          <w:szCs w:val="22"/>
        </w:rPr>
        <w:t xml:space="preserve">the </w:t>
      </w:r>
      <w:r w:rsidR="00635B3B" w:rsidRPr="00635B3B">
        <w:rPr>
          <w:rFonts w:ascii="Times New Roman" w:hAnsi="Times New Roman"/>
          <w:color w:val="000000"/>
          <w:sz w:val="22"/>
          <w:szCs w:val="22"/>
        </w:rPr>
        <w:t xml:space="preserve">intra-cluster genetic divergence in </w:t>
      </w:r>
      <w:r w:rsidR="00D54045">
        <w:rPr>
          <w:rFonts w:ascii="Times New Roman" w:hAnsi="Times New Roman"/>
          <w:color w:val="000000"/>
          <w:sz w:val="22"/>
          <w:szCs w:val="22"/>
        </w:rPr>
        <w:t xml:space="preserve">the </w:t>
      </w:r>
      <w:r w:rsidR="00F4696E">
        <w:rPr>
          <w:rFonts w:ascii="Times New Roman" w:hAnsi="Times New Roman"/>
          <w:color w:val="000000"/>
          <w:sz w:val="22"/>
          <w:szCs w:val="22"/>
        </w:rPr>
        <w:t>nine</w:t>
      </w:r>
      <w:r w:rsidR="00635B3B" w:rsidRPr="00635B3B">
        <w:rPr>
          <w:rFonts w:ascii="Times New Roman" w:hAnsi="Times New Roman"/>
          <w:color w:val="000000"/>
          <w:sz w:val="22"/>
          <w:szCs w:val="22"/>
        </w:rPr>
        <w:t xml:space="preserve">-level hierarchical clustering of the </w:t>
      </w:r>
      <w:r w:rsidR="003C5D66">
        <w:rPr>
          <w:rFonts w:ascii="Times New Roman" w:hAnsi="Times New Roman"/>
          <w:color w:val="000000"/>
          <w:sz w:val="22"/>
          <w:szCs w:val="22"/>
        </w:rPr>
        <w:t>P</w:t>
      </w:r>
      <w:r w:rsidR="00635B3B">
        <w:rPr>
          <w:rFonts w:ascii="Times New Roman" w:hAnsi="Times New Roman"/>
          <w:color w:val="000000"/>
          <w:sz w:val="22"/>
          <w:szCs w:val="22"/>
        </w:rPr>
        <w:t xml:space="preserve">ACTI </w:t>
      </w:r>
      <w:r w:rsidR="003D1827">
        <w:rPr>
          <w:rFonts w:ascii="Times New Roman" w:hAnsi="Times New Roman"/>
          <w:color w:val="000000"/>
          <w:sz w:val="22"/>
          <w:szCs w:val="22"/>
        </w:rPr>
        <w:t>2d dataset</w:t>
      </w:r>
      <w:r w:rsidR="003D1827" w:rsidRPr="00635B3B">
        <w:rPr>
          <w:rFonts w:ascii="Times New Roman" w:hAnsi="Times New Roman"/>
          <w:color w:val="000000"/>
          <w:sz w:val="22"/>
          <w:szCs w:val="22"/>
        </w:rPr>
        <w:t xml:space="preserve"> </w:t>
      </w:r>
      <w:r w:rsidR="00635B3B" w:rsidRPr="00635B3B">
        <w:rPr>
          <w:rFonts w:ascii="Times New Roman" w:hAnsi="Times New Roman"/>
          <w:color w:val="000000"/>
          <w:sz w:val="22"/>
          <w:szCs w:val="22"/>
        </w:rPr>
        <w:t xml:space="preserve">by DEmARC is shown in </w:t>
      </w:r>
      <w:r w:rsidR="00635B3B" w:rsidRPr="00635B3B">
        <w:rPr>
          <w:rFonts w:ascii="Times New Roman" w:hAnsi="Times New Roman"/>
          <w:b/>
          <w:color w:val="000000"/>
          <w:sz w:val="22"/>
          <w:szCs w:val="22"/>
        </w:rPr>
        <w:t xml:space="preserve">Fig. </w:t>
      </w:r>
      <w:r w:rsidR="003C5D66">
        <w:rPr>
          <w:rFonts w:ascii="Times New Roman" w:hAnsi="Times New Roman"/>
          <w:b/>
          <w:color w:val="000000"/>
          <w:sz w:val="22"/>
          <w:szCs w:val="22"/>
        </w:rPr>
        <w:t>5</w:t>
      </w:r>
      <w:r w:rsidR="00635B3B" w:rsidRPr="00635B3B">
        <w:rPr>
          <w:rFonts w:ascii="Times New Roman" w:hAnsi="Times New Roman"/>
          <w:color w:val="000000"/>
          <w:sz w:val="22"/>
          <w:szCs w:val="22"/>
        </w:rPr>
        <w:t>.</w:t>
      </w:r>
    </w:p>
    <w:p w14:paraId="5F2F03BE" w14:textId="77777777" w:rsidR="00C946A3" w:rsidRDefault="00C946A3" w:rsidP="00926A4D">
      <w:pPr>
        <w:pStyle w:val="BodyTextIndent"/>
        <w:ind w:left="0" w:firstLine="0"/>
        <w:rPr>
          <w:rFonts w:ascii="Times New Roman" w:hAnsi="Times New Roman"/>
          <w:color w:val="000000"/>
          <w:sz w:val="22"/>
          <w:szCs w:val="22"/>
        </w:rPr>
      </w:pPr>
    </w:p>
    <w:p w14:paraId="4D2310BF" w14:textId="78909C2D"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b/>
          <w:color w:val="000000"/>
          <w:sz w:val="20"/>
          <w:szCs w:val="20"/>
          <w:lang w:eastAsia="en-GB"/>
        </w:rPr>
        <w:t>Table 1</w:t>
      </w:r>
      <w:r w:rsidRPr="00F728D2">
        <w:rPr>
          <w:rFonts w:ascii="Arial" w:eastAsia="Times" w:hAnsi="Arial" w:cs="Arial"/>
          <w:color w:val="000000"/>
          <w:sz w:val="20"/>
          <w:szCs w:val="20"/>
          <w:lang w:eastAsia="en-GB"/>
        </w:rPr>
        <w:t xml:space="preserve"> Demarcation thresholds for </w:t>
      </w:r>
      <w:r>
        <w:rPr>
          <w:rFonts w:ascii="Arial" w:eastAsia="Times" w:hAnsi="Arial" w:cs="Arial"/>
          <w:color w:val="000000"/>
          <w:sz w:val="20"/>
          <w:szCs w:val="20"/>
          <w:lang w:eastAsia="en-GB"/>
        </w:rPr>
        <w:t>family</w:t>
      </w:r>
      <w:r w:rsidRPr="00F728D2">
        <w:rPr>
          <w:rFonts w:ascii="Arial" w:eastAsia="Times" w:hAnsi="Arial" w:cs="Arial"/>
          <w:color w:val="000000"/>
          <w:sz w:val="20"/>
          <w:szCs w:val="20"/>
          <w:lang w:eastAsia="en-GB"/>
        </w:rPr>
        <w:t xml:space="preserve"> and sub</w:t>
      </w:r>
      <w:r>
        <w:rPr>
          <w:rFonts w:ascii="Arial" w:eastAsia="Times" w:hAnsi="Arial" w:cs="Arial"/>
          <w:color w:val="000000"/>
          <w:sz w:val="20"/>
          <w:szCs w:val="20"/>
          <w:lang w:eastAsia="en-GB"/>
        </w:rPr>
        <w:t>order</w:t>
      </w:r>
      <w:r w:rsidRPr="00F728D2">
        <w:rPr>
          <w:rFonts w:ascii="Arial" w:eastAsia="Times" w:hAnsi="Arial" w:cs="Arial"/>
          <w:color w:val="000000"/>
          <w:sz w:val="20"/>
          <w:szCs w:val="20"/>
          <w:lang w:eastAsia="en-GB"/>
        </w:rPr>
        <w:t xml:space="preserve"> ranks of </w:t>
      </w:r>
      <w:r w:rsidR="001F4EAB">
        <w:rPr>
          <w:rFonts w:ascii="Arial" w:eastAsia="Times" w:hAnsi="Arial" w:cs="Arial"/>
          <w:color w:val="000000"/>
          <w:sz w:val="20"/>
          <w:szCs w:val="20"/>
          <w:lang w:eastAsia="en-GB"/>
        </w:rPr>
        <w:t xml:space="preserve">the </w:t>
      </w:r>
      <w:r w:rsidR="001F4EAB" w:rsidRPr="001F4EAB">
        <w:rPr>
          <w:rFonts w:ascii="Arial" w:eastAsia="Times" w:hAnsi="Arial" w:cs="Arial"/>
          <w:i/>
          <w:color w:val="000000"/>
          <w:sz w:val="20"/>
          <w:szCs w:val="20"/>
          <w:lang w:eastAsia="en-GB"/>
        </w:rPr>
        <w:t>Nidovirales</w:t>
      </w:r>
      <w:r w:rsidR="001F4EAB">
        <w:rPr>
          <w:rFonts w:ascii="Arial" w:eastAsia="Times" w:hAnsi="Arial" w:cs="Arial"/>
          <w:color w:val="000000"/>
          <w:sz w:val="20"/>
          <w:szCs w:val="20"/>
          <w:lang w:eastAsia="en-GB"/>
        </w:rPr>
        <w:t xml:space="preserve"> order</w:t>
      </w:r>
    </w:p>
    <w:tbl>
      <w:tblPr>
        <w:tblStyle w:val="TableGrid"/>
        <w:tblW w:w="0" w:type="auto"/>
        <w:tblInd w:w="108" w:type="dxa"/>
        <w:tblLook w:val="04A0" w:firstRow="1" w:lastRow="0" w:firstColumn="1" w:lastColumn="0" w:noHBand="0" w:noVBand="1"/>
      </w:tblPr>
      <w:tblGrid>
        <w:gridCol w:w="1935"/>
        <w:gridCol w:w="1467"/>
        <w:gridCol w:w="1935"/>
        <w:gridCol w:w="1936"/>
        <w:gridCol w:w="1615"/>
      </w:tblGrid>
      <w:tr w:rsidR="00F728D2" w:rsidRPr="00F728D2" w14:paraId="182D9A60" w14:textId="77777777" w:rsidTr="002D0012">
        <w:tc>
          <w:tcPr>
            <w:tcW w:w="1935" w:type="dxa"/>
          </w:tcPr>
          <w:p w14:paraId="55464FE5" w14:textId="77777777" w:rsidR="00F728D2" w:rsidRPr="00F728D2" w:rsidRDefault="00F728D2" w:rsidP="00F728D2">
            <w:pPr>
              <w:rPr>
                <w:rFonts w:ascii="Arial" w:eastAsia="Times" w:hAnsi="Arial" w:cs="Arial"/>
                <w:b/>
                <w:color w:val="000000"/>
                <w:sz w:val="20"/>
                <w:szCs w:val="20"/>
                <w:lang w:eastAsia="en-GB"/>
              </w:rPr>
            </w:pPr>
            <w:r w:rsidRPr="00F728D2">
              <w:rPr>
                <w:rFonts w:ascii="Arial" w:eastAsia="Times" w:hAnsi="Arial" w:cs="Arial"/>
                <w:b/>
                <w:color w:val="000000"/>
                <w:sz w:val="20"/>
                <w:szCs w:val="20"/>
                <w:lang w:eastAsia="en-GB"/>
              </w:rPr>
              <w:t>rank</w:t>
            </w:r>
          </w:p>
        </w:tc>
        <w:tc>
          <w:tcPr>
            <w:tcW w:w="1467" w:type="dxa"/>
          </w:tcPr>
          <w:p w14:paraId="0573DC3C" w14:textId="77777777" w:rsidR="00F728D2" w:rsidRPr="00F728D2" w:rsidRDefault="00F728D2" w:rsidP="00F728D2">
            <w:pPr>
              <w:rPr>
                <w:rFonts w:ascii="Arial" w:eastAsia="Times" w:hAnsi="Arial" w:cs="Arial"/>
                <w:b/>
                <w:color w:val="000000"/>
                <w:sz w:val="20"/>
                <w:szCs w:val="20"/>
                <w:lang w:eastAsia="en-GB"/>
              </w:rPr>
            </w:pPr>
            <w:r w:rsidRPr="00F728D2">
              <w:rPr>
                <w:rFonts w:ascii="Arial" w:eastAsia="Times" w:hAnsi="Arial" w:cs="Arial"/>
                <w:b/>
                <w:color w:val="000000"/>
                <w:sz w:val="20"/>
                <w:szCs w:val="20"/>
                <w:lang w:eastAsia="en-GB"/>
              </w:rPr>
              <w:t>Taxa #</w:t>
            </w:r>
          </w:p>
        </w:tc>
        <w:tc>
          <w:tcPr>
            <w:tcW w:w="1935" w:type="dxa"/>
          </w:tcPr>
          <w:p w14:paraId="48D4ADAF" w14:textId="77777777" w:rsidR="00F728D2" w:rsidRPr="00F728D2" w:rsidRDefault="00F728D2" w:rsidP="00F728D2">
            <w:pPr>
              <w:rPr>
                <w:rFonts w:ascii="Arial" w:eastAsia="Times" w:hAnsi="Arial" w:cs="Arial"/>
                <w:b/>
                <w:color w:val="000000"/>
                <w:sz w:val="20"/>
                <w:szCs w:val="20"/>
                <w:lang w:eastAsia="en-GB"/>
              </w:rPr>
            </w:pPr>
            <w:r w:rsidRPr="00F728D2">
              <w:rPr>
                <w:rFonts w:ascii="Arial" w:eastAsia="Times" w:hAnsi="Arial" w:cs="Arial"/>
                <w:b/>
                <w:color w:val="000000"/>
                <w:sz w:val="20"/>
                <w:szCs w:val="20"/>
                <w:lang w:eastAsia="en-GB"/>
              </w:rPr>
              <w:t>PPD range</w:t>
            </w:r>
            <w:r w:rsidRPr="00F728D2">
              <w:rPr>
                <w:rFonts w:ascii="Arial" w:eastAsia="Times" w:hAnsi="Arial" w:cs="Arial"/>
                <w:b/>
                <w:color w:val="000000"/>
                <w:sz w:val="20"/>
                <w:szCs w:val="20"/>
                <w:vertAlign w:val="superscript"/>
                <w:lang w:eastAsia="en-GB"/>
              </w:rPr>
              <w:t>1</w:t>
            </w:r>
          </w:p>
        </w:tc>
        <w:tc>
          <w:tcPr>
            <w:tcW w:w="1936" w:type="dxa"/>
          </w:tcPr>
          <w:p w14:paraId="2217DBC8" w14:textId="77777777" w:rsidR="00F728D2" w:rsidRPr="00F728D2" w:rsidRDefault="00F728D2" w:rsidP="00F728D2">
            <w:pPr>
              <w:rPr>
                <w:rFonts w:ascii="Arial" w:eastAsia="Times" w:hAnsi="Arial" w:cs="Arial"/>
                <w:b/>
                <w:color w:val="000000"/>
                <w:sz w:val="20"/>
                <w:szCs w:val="20"/>
                <w:lang w:eastAsia="en-GB"/>
              </w:rPr>
            </w:pPr>
            <w:r w:rsidRPr="00F728D2">
              <w:rPr>
                <w:rFonts w:ascii="Arial" w:eastAsia="Times" w:hAnsi="Arial" w:cs="Arial"/>
                <w:b/>
                <w:color w:val="000000"/>
                <w:sz w:val="20"/>
                <w:szCs w:val="20"/>
                <w:lang w:eastAsia="en-GB"/>
              </w:rPr>
              <w:t>PUD (%) range</w:t>
            </w:r>
            <w:r w:rsidRPr="00F728D2">
              <w:rPr>
                <w:rFonts w:ascii="Arial" w:eastAsia="Times" w:hAnsi="Arial" w:cs="Arial"/>
                <w:b/>
                <w:color w:val="000000"/>
                <w:sz w:val="20"/>
                <w:szCs w:val="20"/>
                <w:vertAlign w:val="superscript"/>
                <w:lang w:eastAsia="en-GB"/>
              </w:rPr>
              <w:t>2</w:t>
            </w:r>
          </w:p>
        </w:tc>
        <w:tc>
          <w:tcPr>
            <w:tcW w:w="1615" w:type="dxa"/>
          </w:tcPr>
          <w:p w14:paraId="08574CE5" w14:textId="77777777" w:rsidR="00F728D2" w:rsidRPr="00F728D2" w:rsidRDefault="00F728D2" w:rsidP="00F728D2">
            <w:pPr>
              <w:rPr>
                <w:rFonts w:ascii="Arial" w:eastAsia="Times" w:hAnsi="Arial" w:cs="Arial"/>
                <w:b/>
                <w:color w:val="000000"/>
                <w:sz w:val="20"/>
                <w:szCs w:val="20"/>
                <w:lang w:eastAsia="en-GB"/>
              </w:rPr>
            </w:pPr>
            <w:r w:rsidRPr="00F728D2">
              <w:rPr>
                <w:rFonts w:ascii="Arial" w:eastAsia="Times" w:hAnsi="Arial" w:cs="Arial"/>
                <w:b/>
                <w:color w:val="000000"/>
                <w:sz w:val="20"/>
                <w:szCs w:val="20"/>
                <w:lang w:eastAsia="en-GB"/>
              </w:rPr>
              <w:t>Dataset used</w:t>
            </w:r>
            <w:r w:rsidRPr="00F728D2">
              <w:rPr>
                <w:rFonts w:ascii="Arial" w:eastAsia="Times" w:hAnsi="Arial" w:cs="Arial"/>
                <w:b/>
                <w:color w:val="000000"/>
                <w:sz w:val="20"/>
                <w:szCs w:val="20"/>
                <w:vertAlign w:val="superscript"/>
                <w:lang w:eastAsia="en-GB"/>
              </w:rPr>
              <w:t>3</w:t>
            </w:r>
          </w:p>
        </w:tc>
      </w:tr>
      <w:tr w:rsidR="00F728D2" w:rsidRPr="00F728D2" w14:paraId="74DA9BF8" w14:textId="77777777" w:rsidTr="002D0012">
        <w:tc>
          <w:tcPr>
            <w:tcW w:w="1935" w:type="dxa"/>
          </w:tcPr>
          <w:p w14:paraId="28881CA8" w14:textId="21879E92"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sub</w:t>
            </w:r>
            <w:r>
              <w:rPr>
                <w:rFonts w:ascii="Arial" w:eastAsia="Times" w:hAnsi="Arial" w:cs="Arial"/>
                <w:color w:val="000000"/>
                <w:sz w:val="20"/>
                <w:szCs w:val="20"/>
                <w:lang w:eastAsia="en-GB"/>
              </w:rPr>
              <w:t>order</w:t>
            </w:r>
          </w:p>
        </w:tc>
        <w:tc>
          <w:tcPr>
            <w:tcW w:w="1467" w:type="dxa"/>
          </w:tcPr>
          <w:p w14:paraId="08C03353" w14:textId="63E0E50C" w:rsidR="00F728D2" w:rsidRPr="00F728D2" w:rsidRDefault="00F728D2" w:rsidP="00F728D2">
            <w:pPr>
              <w:rPr>
                <w:rFonts w:ascii="Arial" w:eastAsia="Times" w:hAnsi="Arial" w:cs="Arial"/>
                <w:color w:val="000000"/>
                <w:sz w:val="20"/>
                <w:szCs w:val="20"/>
                <w:lang w:eastAsia="en-GB"/>
              </w:rPr>
            </w:pPr>
            <w:r>
              <w:rPr>
                <w:rFonts w:ascii="Arial" w:eastAsia="Times" w:hAnsi="Arial" w:cs="Arial"/>
                <w:color w:val="000000"/>
                <w:sz w:val="20"/>
                <w:szCs w:val="20"/>
                <w:lang w:eastAsia="en-GB"/>
              </w:rPr>
              <w:t>7</w:t>
            </w:r>
          </w:p>
        </w:tc>
        <w:tc>
          <w:tcPr>
            <w:tcW w:w="1935" w:type="dxa"/>
          </w:tcPr>
          <w:p w14:paraId="507DA5E8" w14:textId="001879FE"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3.240-3.476</w:t>
            </w:r>
          </w:p>
        </w:tc>
        <w:tc>
          <w:tcPr>
            <w:tcW w:w="1936" w:type="dxa"/>
          </w:tcPr>
          <w:p w14:paraId="7F529C4E" w14:textId="72920C83"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0.734-0.747</w:t>
            </w:r>
          </w:p>
        </w:tc>
        <w:tc>
          <w:tcPr>
            <w:tcW w:w="1615" w:type="dxa"/>
          </w:tcPr>
          <w:p w14:paraId="1F43532D" w14:textId="67C9C283" w:rsidR="00F728D2" w:rsidRPr="00F728D2" w:rsidRDefault="00F728D2" w:rsidP="00F728D2">
            <w:pPr>
              <w:rPr>
                <w:rFonts w:ascii="Arial" w:eastAsia="Times" w:hAnsi="Arial" w:cs="Arial"/>
                <w:color w:val="000000"/>
                <w:sz w:val="20"/>
                <w:szCs w:val="20"/>
                <w:lang w:eastAsia="en-GB"/>
              </w:rPr>
            </w:pPr>
            <w:r>
              <w:rPr>
                <w:rFonts w:ascii="Arial" w:eastAsia="Times" w:hAnsi="Arial" w:cs="Arial"/>
                <w:color w:val="000000"/>
                <w:sz w:val="20"/>
                <w:szCs w:val="20"/>
                <w:lang w:eastAsia="en-GB"/>
              </w:rPr>
              <w:t>ACTI</w:t>
            </w:r>
            <w:r w:rsidRPr="00F728D2">
              <w:rPr>
                <w:rFonts w:ascii="Arial" w:eastAsia="Times" w:hAnsi="Arial" w:cs="Arial"/>
                <w:color w:val="000000"/>
                <w:sz w:val="20"/>
                <w:szCs w:val="20"/>
                <w:lang w:eastAsia="en-GB"/>
              </w:rPr>
              <w:t>_5d</w:t>
            </w:r>
          </w:p>
        </w:tc>
      </w:tr>
      <w:tr w:rsidR="00F728D2" w:rsidRPr="00F728D2" w14:paraId="0B97D97E" w14:textId="77777777" w:rsidTr="002D0012">
        <w:tc>
          <w:tcPr>
            <w:tcW w:w="1935" w:type="dxa"/>
          </w:tcPr>
          <w:p w14:paraId="019E62E6" w14:textId="6EF9624A" w:rsidR="00F728D2" w:rsidRPr="00F728D2" w:rsidRDefault="00F728D2" w:rsidP="00F728D2">
            <w:pPr>
              <w:rPr>
                <w:rFonts w:ascii="Arial" w:eastAsia="Times" w:hAnsi="Arial" w:cs="Arial"/>
                <w:color w:val="000000"/>
                <w:sz w:val="20"/>
                <w:szCs w:val="20"/>
                <w:lang w:eastAsia="en-GB"/>
              </w:rPr>
            </w:pPr>
            <w:r>
              <w:rPr>
                <w:rFonts w:ascii="Arial" w:eastAsia="Times" w:hAnsi="Arial" w:cs="Arial"/>
                <w:color w:val="000000"/>
                <w:sz w:val="20"/>
                <w:szCs w:val="20"/>
                <w:lang w:eastAsia="en-GB"/>
              </w:rPr>
              <w:t>family</w:t>
            </w:r>
          </w:p>
        </w:tc>
        <w:tc>
          <w:tcPr>
            <w:tcW w:w="1467" w:type="dxa"/>
          </w:tcPr>
          <w:p w14:paraId="3444B0F3" w14:textId="77777777"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9</w:t>
            </w:r>
          </w:p>
        </w:tc>
        <w:tc>
          <w:tcPr>
            <w:tcW w:w="1935" w:type="dxa"/>
          </w:tcPr>
          <w:p w14:paraId="4A45383D" w14:textId="6FBA182E"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2.620-2.649</w:t>
            </w:r>
          </w:p>
        </w:tc>
        <w:tc>
          <w:tcPr>
            <w:tcW w:w="1936" w:type="dxa"/>
          </w:tcPr>
          <w:p w14:paraId="5C8B58F5" w14:textId="4EDCE672"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color w:val="000000"/>
                <w:sz w:val="20"/>
                <w:szCs w:val="20"/>
                <w:lang w:eastAsia="en-GB"/>
              </w:rPr>
              <w:t>0.691-0.693</w:t>
            </w:r>
          </w:p>
        </w:tc>
        <w:tc>
          <w:tcPr>
            <w:tcW w:w="1615" w:type="dxa"/>
          </w:tcPr>
          <w:p w14:paraId="68E09A99" w14:textId="525F1878" w:rsidR="00F728D2" w:rsidRPr="00F728D2" w:rsidRDefault="00F728D2" w:rsidP="00F728D2">
            <w:pPr>
              <w:rPr>
                <w:rFonts w:ascii="Arial" w:eastAsia="Times" w:hAnsi="Arial" w:cs="Arial"/>
                <w:color w:val="000000"/>
                <w:sz w:val="20"/>
                <w:szCs w:val="20"/>
                <w:lang w:eastAsia="en-GB"/>
              </w:rPr>
            </w:pPr>
            <w:r>
              <w:rPr>
                <w:rFonts w:ascii="Arial" w:eastAsia="Times" w:hAnsi="Arial" w:cs="Arial"/>
                <w:color w:val="000000"/>
                <w:sz w:val="20"/>
                <w:szCs w:val="20"/>
                <w:lang w:eastAsia="en-GB"/>
              </w:rPr>
              <w:t>ACTI</w:t>
            </w:r>
            <w:r w:rsidRPr="00F728D2">
              <w:rPr>
                <w:rFonts w:ascii="Arial" w:eastAsia="Times" w:hAnsi="Arial" w:cs="Arial"/>
                <w:color w:val="000000"/>
                <w:sz w:val="20"/>
                <w:szCs w:val="20"/>
                <w:lang w:eastAsia="en-GB"/>
              </w:rPr>
              <w:t>_5d</w:t>
            </w:r>
          </w:p>
        </w:tc>
      </w:tr>
    </w:tbl>
    <w:p w14:paraId="5B7F7E8E" w14:textId="2DF036E5"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b/>
          <w:color w:val="000000"/>
          <w:sz w:val="20"/>
          <w:szCs w:val="20"/>
          <w:vertAlign w:val="superscript"/>
          <w:lang w:eastAsia="en-GB"/>
        </w:rPr>
        <w:t>1</w:t>
      </w:r>
      <w:r w:rsidRPr="00F728D2">
        <w:rPr>
          <w:rFonts w:ascii="Arial" w:eastAsia="Times" w:hAnsi="Arial" w:cs="Arial"/>
          <w:color w:val="000000"/>
          <w:sz w:val="20"/>
          <w:szCs w:val="20"/>
          <w:lang w:eastAsia="en-GB"/>
        </w:rPr>
        <w:t xml:space="preserve">Demarcation threshold depicted as a range of PPD values for which number of clusters (taxa) remained constant and CC=0. PPD values account for repeated replacements of </w:t>
      </w:r>
      <w:r w:rsidR="001F0D64">
        <w:rPr>
          <w:rFonts w:ascii="Arial" w:eastAsia="Times" w:hAnsi="Arial" w:cs="Arial"/>
          <w:color w:val="000000"/>
          <w:sz w:val="20"/>
          <w:szCs w:val="20"/>
          <w:lang w:eastAsia="en-GB"/>
        </w:rPr>
        <w:t>amino acid</w:t>
      </w:r>
      <w:r w:rsidRPr="00F728D2">
        <w:rPr>
          <w:rFonts w:ascii="Arial" w:eastAsia="Times" w:hAnsi="Arial" w:cs="Arial"/>
          <w:color w:val="000000"/>
          <w:sz w:val="20"/>
          <w:szCs w:val="20"/>
          <w:lang w:eastAsia="en-GB"/>
        </w:rPr>
        <w:t xml:space="preserve"> residues.</w:t>
      </w:r>
    </w:p>
    <w:p w14:paraId="4526E7E0" w14:textId="77777777"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b/>
          <w:color w:val="000000"/>
          <w:sz w:val="20"/>
          <w:szCs w:val="20"/>
          <w:vertAlign w:val="superscript"/>
          <w:lang w:eastAsia="en-GB"/>
        </w:rPr>
        <w:t>2</w:t>
      </w:r>
      <w:r w:rsidRPr="00F728D2">
        <w:rPr>
          <w:rFonts w:ascii="Arial" w:eastAsia="Times" w:hAnsi="Arial" w:cs="Arial"/>
          <w:color w:val="000000"/>
          <w:sz w:val="20"/>
          <w:szCs w:val="20"/>
          <w:lang w:eastAsia="en-GB"/>
        </w:rPr>
        <w:t>Demarcation threshold depicted as a range of PUD values for which number of clusters (taxa) remained constant and CC=0. PUD values are calculated as % of different residues in compared proteins.</w:t>
      </w:r>
    </w:p>
    <w:p w14:paraId="009A517F" w14:textId="77777777" w:rsidR="00F728D2" w:rsidRPr="00F728D2" w:rsidRDefault="00F728D2" w:rsidP="00F728D2">
      <w:pPr>
        <w:rPr>
          <w:rFonts w:ascii="Arial" w:eastAsia="Times" w:hAnsi="Arial" w:cs="Arial"/>
          <w:color w:val="000000"/>
          <w:sz w:val="20"/>
          <w:szCs w:val="20"/>
          <w:lang w:eastAsia="en-GB"/>
        </w:rPr>
      </w:pPr>
      <w:r w:rsidRPr="00F728D2">
        <w:rPr>
          <w:rFonts w:ascii="Arial" w:eastAsia="Times" w:hAnsi="Arial" w:cs="Arial"/>
          <w:b/>
          <w:color w:val="000000"/>
          <w:sz w:val="20"/>
          <w:szCs w:val="20"/>
          <w:vertAlign w:val="superscript"/>
          <w:lang w:eastAsia="en-GB"/>
        </w:rPr>
        <w:t>3</w:t>
      </w:r>
      <w:r w:rsidRPr="00F728D2">
        <w:rPr>
          <w:rFonts w:ascii="Arial" w:eastAsia="Times" w:hAnsi="Arial" w:cs="Arial"/>
          <w:color w:val="000000"/>
          <w:sz w:val="20"/>
          <w:szCs w:val="20"/>
          <w:lang w:eastAsia="en-GB"/>
        </w:rPr>
        <w:t>See Figure 2.</w:t>
      </w:r>
    </w:p>
    <w:p w14:paraId="29AF6E6F" w14:textId="77777777" w:rsidR="00534EED" w:rsidRDefault="00534EED" w:rsidP="00603CFD">
      <w:pPr>
        <w:pStyle w:val="BodyTextIndent"/>
        <w:ind w:left="0" w:firstLine="0"/>
        <w:rPr>
          <w:rFonts w:ascii="Arial" w:hAnsi="Arial" w:cs="Arial"/>
          <w:color w:val="000000"/>
          <w:sz w:val="20"/>
        </w:rPr>
      </w:pPr>
    </w:p>
    <w:tbl>
      <w:tblPr>
        <w:tblW w:w="9228" w:type="dxa"/>
        <w:tblLook w:val="04A0" w:firstRow="1" w:lastRow="0" w:firstColumn="1" w:lastColumn="0" w:noHBand="0" w:noVBand="1"/>
      </w:tblPr>
      <w:tblGrid>
        <w:gridCol w:w="9228"/>
      </w:tblGrid>
      <w:tr w:rsidR="001F4EAB" w:rsidRPr="001E492D" w14:paraId="2FFE7301" w14:textId="77777777" w:rsidTr="00376A67">
        <w:trPr>
          <w:tblHeader/>
        </w:trPr>
        <w:tc>
          <w:tcPr>
            <w:tcW w:w="9228" w:type="dxa"/>
          </w:tcPr>
          <w:p w14:paraId="541B2244" w14:textId="77777777" w:rsidR="001F4EAB" w:rsidRPr="001E492D" w:rsidRDefault="001F4EAB" w:rsidP="00376A67">
            <w:pPr>
              <w:spacing w:after="120"/>
              <w:rPr>
                <w:b/>
              </w:rPr>
            </w:pPr>
            <w:r>
              <w:rPr>
                <w:b/>
              </w:rPr>
              <w:t>References</w:t>
            </w:r>
            <w:r w:rsidRPr="001E492D">
              <w:rPr>
                <w:b/>
              </w:rPr>
              <w:t>:</w:t>
            </w:r>
          </w:p>
        </w:tc>
      </w:tr>
      <w:tr w:rsidR="001F4EAB" w:rsidRPr="001E492D" w14:paraId="54478EA1" w14:textId="77777777" w:rsidTr="00376A67">
        <w:tc>
          <w:tcPr>
            <w:tcW w:w="9228" w:type="dxa"/>
            <w:tcBorders>
              <w:top w:val="single" w:sz="8" w:space="0" w:color="auto"/>
              <w:left w:val="single" w:sz="8" w:space="0" w:color="auto"/>
              <w:bottom w:val="single" w:sz="8" w:space="0" w:color="auto"/>
              <w:right w:val="single" w:sz="8" w:space="0" w:color="auto"/>
            </w:tcBorders>
          </w:tcPr>
          <w:p w14:paraId="4F8EC135" w14:textId="77777777" w:rsidR="001F4EAB" w:rsidRPr="00DE3692" w:rsidRDefault="001F4EAB" w:rsidP="00DE3692">
            <w:pPr>
              <w:pStyle w:val="BodyTextIndent"/>
              <w:numPr>
                <w:ilvl w:val="0"/>
                <w:numId w:val="25"/>
              </w:numPr>
              <w:ind w:left="426" w:hanging="425"/>
              <w:jc w:val="both"/>
              <w:rPr>
                <w:rFonts w:ascii="Times New Roman" w:hAnsi="Times New Roman"/>
                <w:color w:val="000000"/>
                <w:sz w:val="22"/>
                <w:szCs w:val="22"/>
              </w:rPr>
            </w:pPr>
            <w:r w:rsidRPr="00DE3692">
              <w:rPr>
                <w:rFonts w:ascii="Times New Roman" w:hAnsi="Times New Roman"/>
                <w:color w:val="000000"/>
                <w:sz w:val="22"/>
                <w:szCs w:val="22"/>
              </w:rPr>
              <w:t>Gulyaeva, A.A., Lauber, C., Samborskiy, D.V., Leontovich, A.M., Sidorov, I.A. and A.E. Gorbalenya (2017) Evolutionary based classification of genomic diversity of nidoviruses connects metagenomics and experimental research. Proceedings for the XIVth International Nidovirus Symposium, S4. P-05, Kansas City, MO, USA, June 4-9, 2017.</w:t>
            </w:r>
          </w:p>
          <w:p w14:paraId="3296F1E9" w14:textId="77777777" w:rsidR="001F4EAB" w:rsidRPr="00DE3692" w:rsidRDefault="001F4EAB" w:rsidP="00DE3692">
            <w:pPr>
              <w:pStyle w:val="BodyTextIndent"/>
              <w:numPr>
                <w:ilvl w:val="0"/>
                <w:numId w:val="25"/>
              </w:numPr>
              <w:ind w:left="426" w:hanging="425"/>
              <w:jc w:val="both"/>
              <w:rPr>
                <w:rFonts w:ascii="Times New Roman" w:hAnsi="Times New Roman"/>
                <w:color w:val="000000"/>
                <w:sz w:val="22"/>
                <w:szCs w:val="22"/>
              </w:rPr>
            </w:pPr>
            <w:r w:rsidRPr="00DE3692">
              <w:rPr>
                <w:rFonts w:ascii="Times New Roman" w:hAnsi="Times New Roman"/>
                <w:color w:val="000000"/>
                <w:sz w:val="22"/>
                <w:szCs w:val="22"/>
              </w:rPr>
              <w:t>Neuman, B. W., Bukhari, K., Mutlk, S. T., Alrashedi, H. S. H., Abdulsattar, B. O., Shu, G., Zhao, L., Jianping, J., Moroz, L. L., di Palma, F., Ayoub, N., Garb, J., and W. Sun (2017) Novel nido-like virus genomes associated with eukaryotic intracellular RNA pools. Proceedings for the XIVth International Nidovirus Symposium, S4. O-05, Kansas City, MO, USA, June 4-9, 2017.</w:t>
            </w:r>
          </w:p>
          <w:p w14:paraId="63CB4172" w14:textId="77777777" w:rsidR="001F4EAB" w:rsidRPr="00DE3692" w:rsidRDefault="001F4EAB" w:rsidP="00DE3692">
            <w:pPr>
              <w:pStyle w:val="BodyTextIndent"/>
              <w:numPr>
                <w:ilvl w:val="0"/>
                <w:numId w:val="25"/>
              </w:numPr>
              <w:ind w:left="426" w:hanging="425"/>
              <w:jc w:val="both"/>
              <w:rPr>
                <w:rFonts w:ascii="Times New Roman" w:hAnsi="Times New Roman"/>
                <w:color w:val="000000"/>
                <w:sz w:val="22"/>
                <w:szCs w:val="22"/>
              </w:rPr>
            </w:pPr>
            <w:r w:rsidRPr="00DE3692">
              <w:rPr>
                <w:rFonts w:ascii="Times New Roman" w:hAnsi="Times New Roman"/>
                <w:color w:val="000000"/>
                <w:sz w:val="22"/>
                <w:szCs w:val="22"/>
              </w:rPr>
              <w:t>Saberi A., Gulyaeva A., Brubacher J.L., Newmark P.A. and A.E. Gorbalenya (2017) Planarian virus with giant RNA genome redefines nidoviruses. Proceedings for the XIVth International Nidovirus Symposium, S4. P-04, Kansas City, MO, USA, June 4-9, 2017.</w:t>
            </w:r>
          </w:p>
          <w:p w14:paraId="079AAF66" w14:textId="77777777" w:rsidR="001F4EAB" w:rsidRPr="00C61931" w:rsidRDefault="001F4EAB" w:rsidP="00DE3692">
            <w:pPr>
              <w:pStyle w:val="BodyTextIndent"/>
              <w:ind w:left="0" w:firstLine="0"/>
              <w:rPr>
                <w:rFonts w:ascii="Times New Roman" w:hAnsi="Times New Roman"/>
                <w:color w:val="000000"/>
              </w:rPr>
            </w:pPr>
          </w:p>
        </w:tc>
      </w:tr>
    </w:tbl>
    <w:p w14:paraId="5EF61C4D" w14:textId="77777777" w:rsidR="001F4EAB" w:rsidRDefault="001F4EAB">
      <w:pPr>
        <w:rPr>
          <w:rFonts w:ascii="Arial" w:eastAsia="Times" w:hAnsi="Arial" w:cs="Arial"/>
          <w:b/>
          <w:color w:val="000000"/>
          <w:sz w:val="20"/>
          <w:szCs w:val="20"/>
          <w:lang w:eastAsia="en-GB"/>
        </w:rPr>
      </w:pPr>
      <w:r>
        <w:rPr>
          <w:rFonts w:ascii="Arial" w:hAnsi="Arial" w:cs="Arial"/>
          <w:b/>
          <w:color w:val="000000"/>
          <w:sz w:val="20"/>
        </w:rPr>
        <w:br w:type="page"/>
      </w:r>
    </w:p>
    <w:p w14:paraId="4A2C6D11" w14:textId="693986D2" w:rsidR="00AC0E72" w:rsidRDefault="006B2EE7" w:rsidP="006C4A0C">
      <w:pPr>
        <w:pStyle w:val="BodyTextIndent"/>
        <w:ind w:left="0" w:firstLine="0"/>
      </w:pPr>
      <w:r w:rsidRPr="006B2EE7">
        <w:rPr>
          <w:rFonts w:ascii="Arial" w:hAnsi="Arial" w:cs="Arial"/>
          <w:b/>
          <w:color w:val="000000"/>
          <w:sz w:val="20"/>
        </w:rPr>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p>
    <w:tbl>
      <w:tblPr>
        <w:tblW w:w="9228" w:type="dxa"/>
        <w:tblLook w:val="04A0" w:firstRow="1" w:lastRow="0" w:firstColumn="1" w:lastColumn="0" w:noHBand="0" w:noVBand="1"/>
      </w:tblPr>
      <w:tblGrid>
        <w:gridCol w:w="9228"/>
      </w:tblGrid>
      <w:tr w:rsidR="008071B6" w:rsidRPr="001E492D" w14:paraId="17A5114A" w14:textId="77777777">
        <w:trPr>
          <w:tblHeader/>
        </w:trPr>
        <w:tc>
          <w:tcPr>
            <w:tcW w:w="9228" w:type="dxa"/>
          </w:tcPr>
          <w:p w14:paraId="25610FBA" w14:textId="77777777" w:rsidR="008071B6" w:rsidRPr="008071B6" w:rsidRDefault="008071B6" w:rsidP="00A11ACF">
            <w:pPr>
              <w:spacing w:after="120"/>
              <w:rPr>
                <w:b/>
                <w:color w:val="808080"/>
                <w:szCs w:val="20"/>
              </w:rPr>
            </w:pPr>
            <w:r w:rsidRPr="008071B6">
              <w:rPr>
                <w:rFonts w:ascii="Arial" w:hAnsi="Arial" w:cs="Arial"/>
                <w:color w:val="808080"/>
                <w:sz w:val="20"/>
                <w:szCs w:val="20"/>
              </w:rPr>
              <w:t>additional material in support of this proposal</w:t>
            </w:r>
          </w:p>
        </w:tc>
      </w:tr>
      <w:tr w:rsidR="006355CD" w:rsidRPr="006355CD" w14:paraId="4F325761" w14:textId="77777777" w:rsidTr="001E59C1">
        <w:trPr>
          <w:trHeight w:val="1566"/>
        </w:trPr>
        <w:tc>
          <w:tcPr>
            <w:tcW w:w="9228" w:type="dxa"/>
          </w:tcPr>
          <w:p w14:paraId="2486B2DC" w14:textId="77777777" w:rsidR="00AC0E72" w:rsidRPr="006355CD" w:rsidRDefault="00AC0E72" w:rsidP="00D2300C">
            <w:pPr>
              <w:spacing w:before="120"/>
              <w:rPr>
                <w:rFonts w:ascii="Arial" w:hAnsi="Arial" w:cs="Arial"/>
                <w:sz w:val="20"/>
              </w:rPr>
            </w:pPr>
            <w:r w:rsidRPr="006355CD">
              <w:rPr>
                <w:b/>
              </w:rPr>
              <w:t>Annex:</w:t>
            </w:r>
            <w:r w:rsidRPr="006355CD">
              <w:rPr>
                <w:rFonts w:ascii="Arial" w:hAnsi="Arial" w:cs="Arial"/>
                <w:sz w:val="20"/>
              </w:rPr>
              <w:t xml:space="preserve"> </w:t>
            </w:r>
          </w:p>
          <w:p w14:paraId="024FEC8C" w14:textId="77777777" w:rsidR="001E59C1" w:rsidRPr="006355CD" w:rsidRDefault="001E59C1" w:rsidP="001F4EAB">
            <w:pPr>
              <w:pStyle w:val="BodyTextIndent"/>
              <w:spacing w:after="120"/>
              <w:ind w:left="0" w:firstLine="0"/>
              <w:rPr>
                <w:rFonts w:ascii="Arial" w:hAnsi="Arial" w:cs="Arial"/>
                <w:sz w:val="20"/>
              </w:rPr>
            </w:pPr>
          </w:p>
        </w:tc>
      </w:tr>
    </w:tbl>
    <w:p w14:paraId="457EF910" w14:textId="77777777" w:rsidR="001B15E2" w:rsidRPr="006355CD" w:rsidRDefault="001B15E2" w:rsidP="00AC0E72">
      <w:pPr>
        <w:rPr>
          <w:lang w:val="en-GB"/>
        </w:rPr>
        <w:sectPr w:rsidR="001B15E2" w:rsidRPr="006355CD" w:rsidSect="00991A82">
          <w:headerReference w:type="default" r:id="rId10"/>
          <w:footerReference w:type="default" r:id="rId11"/>
          <w:pgSz w:w="11909" w:h="16834" w:code="9"/>
          <w:pgMar w:top="1296" w:right="1008" w:bottom="1440" w:left="1440" w:header="706" w:footer="706" w:gutter="0"/>
          <w:cols w:space="708"/>
          <w:docGrid w:linePitch="360"/>
        </w:sectPr>
      </w:pPr>
    </w:p>
    <w:p w14:paraId="3325B447" w14:textId="77777777" w:rsidR="008E736E" w:rsidRPr="006355CD" w:rsidRDefault="008E736E" w:rsidP="00AC0E72">
      <w:pPr>
        <w:rPr>
          <w:lang w:val="en-GB"/>
        </w:rPr>
      </w:pPr>
    </w:p>
    <w:p w14:paraId="4881DCFC" w14:textId="6986A908" w:rsidR="006C4A0C" w:rsidRDefault="006355CD" w:rsidP="00AC0E72">
      <w:pPr>
        <w:rPr>
          <w:lang w:val="en-GB"/>
        </w:rPr>
      </w:pPr>
      <w:r>
        <w:rPr>
          <w:noProof/>
          <w:lang w:val="en-GB" w:eastAsia="en-GB"/>
        </w:rPr>
        <w:drawing>
          <wp:inline distT="0" distB="0" distL="0" distR="0" wp14:anchorId="3492BD86" wp14:editId="5746DC7A">
            <wp:extent cx="6007735" cy="359323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7735" cy="3593234"/>
                    </a:xfrm>
                    <a:prstGeom prst="rect">
                      <a:avLst/>
                    </a:prstGeom>
                    <a:noFill/>
                    <a:ln>
                      <a:noFill/>
                    </a:ln>
                  </pic:spPr>
                </pic:pic>
              </a:graphicData>
            </a:graphic>
          </wp:inline>
        </w:drawing>
      </w:r>
    </w:p>
    <w:p w14:paraId="39079D8B" w14:textId="77777777" w:rsidR="006C4A0C" w:rsidRDefault="006C4A0C" w:rsidP="00AC0E72">
      <w:pPr>
        <w:rPr>
          <w:lang w:val="en-GB"/>
        </w:rPr>
      </w:pPr>
    </w:p>
    <w:p w14:paraId="7433A9D8" w14:textId="11EFB060" w:rsidR="006C4A0C" w:rsidRPr="008B1AF9" w:rsidRDefault="006C1134" w:rsidP="008B0C66">
      <w:pPr>
        <w:jc w:val="both"/>
        <w:rPr>
          <w:lang w:val="en-GB"/>
        </w:rPr>
      </w:pPr>
      <w:r w:rsidRPr="006C1134">
        <w:rPr>
          <w:b/>
          <w:lang w:val="en-GB"/>
        </w:rPr>
        <w:t>Fig. 1</w:t>
      </w:r>
      <w:r>
        <w:rPr>
          <w:lang w:val="en-GB"/>
        </w:rPr>
        <w:t xml:space="preserve">. </w:t>
      </w:r>
      <w:r w:rsidR="008B0C66" w:rsidRPr="008B0C66">
        <w:rPr>
          <w:lang w:val="en-GB"/>
        </w:rPr>
        <w:t xml:space="preserve">Proposed taxonomy of the order </w:t>
      </w:r>
      <w:r w:rsidR="008B0C66" w:rsidRPr="008B0C66">
        <w:rPr>
          <w:i/>
          <w:lang w:val="en-GB"/>
        </w:rPr>
        <w:t>Nidovirales</w:t>
      </w:r>
      <w:r w:rsidR="008B0C66" w:rsidRPr="008B0C66">
        <w:rPr>
          <w:lang w:val="en-GB"/>
        </w:rPr>
        <w:t xml:space="preserve"> and sequences datasets analysed to produce it. Color panel depicts the proposed seven-rank taxonomy of the order </w:t>
      </w:r>
      <w:r w:rsidR="008B0C66" w:rsidRPr="008B0C66">
        <w:rPr>
          <w:i/>
          <w:lang w:val="en-GB"/>
        </w:rPr>
        <w:t>Nidovirales</w:t>
      </w:r>
      <w:r w:rsidR="008B0C66" w:rsidRPr="008B0C66">
        <w:rPr>
          <w:lang w:val="en-GB"/>
        </w:rPr>
        <w:t xml:space="preserve"> along with a monophyletic </w:t>
      </w:r>
      <w:r w:rsidR="004662D6">
        <w:rPr>
          <w:lang w:val="en-GB"/>
        </w:rPr>
        <w:t xml:space="preserve">sister </w:t>
      </w:r>
      <w:r w:rsidR="008B0C66" w:rsidRPr="008B0C66">
        <w:rPr>
          <w:lang w:val="en-GB"/>
        </w:rPr>
        <w:t>group of</w:t>
      </w:r>
      <w:r w:rsidR="004662D6">
        <w:rPr>
          <w:lang w:val="en-GB"/>
        </w:rPr>
        <w:t xml:space="preserve"> unclassified</w:t>
      </w:r>
      <w:r w:rsidR="008B0C66" w:rsidRPr="008B0C66">
        <w:rPr>
          <w:lang w:val="en-GB"/>
        </w:rPr>
        <w:t xml:space="preserve"> invertebrate viruses, and with each suborder colored differently. Each taxon at every rank is depicted with </w:t>
      </w:r>
      <w:r w:rsidR="00340A68">
        <w:rPr>
          <w:lang w:val="en-GB"/>
        </w:rPr>
        <w:t xml:space="preserve">a </w:t>
      </w:r>
      <w:r w:rsidR="008B0C66" w:rsidRPr="008B0C66">
        <w:rPr>
          <w:lang w:val="en-GB"/>
        </w:rPr>
        <w:t>black rhomb</w:t>
      </w:r>
      <w:r w:rsidR="00340A68">
        <w:rPr>
          <w:lang w:val="en-GB"/>
        </w:rPr>
        <w:t xml:space="preserve">, </w:t>
      </w:r>
      <w:r w:rsidR="008B0C66" w:rsidRPr="008B0C66">
        <w:rPr>
          <w:lang w:val="en-GB"/>
        </w:rPr>
        <w:t xml:space="preserve">and acronyms are given for </w:t>
      </w:r>
      <w:r w:rsidR="00340A68">
        <w:rPr>
          <w:lang w:val="en-GB"/>
        </w:rPr>
        <w:t xml:space="preserve">the respective </w:t>
      </w:r>
      <w:r w:rsidR="008B0C66" w:rsidRPr="008B0C66">
        <w:rPr>
          <w:lang w:val="en-GB"/>
        </w:rPr>
        <w:t xml:space="preserve">species. Genome sequences of nine groups of nidoviruses, depicted with acronyms, were used to generate DEmARC classifications that were merged to produce this taxonomy. PACTI, all viruses of </w:t>
      </w:r>
      <w:r w:rsidR="00340A68">
        <w:rPr>
          <w:lang w:val="en-GB"/>
        </w:rPr>
        <w:t xml:space="preserve">the </w:t>
      </w:r>
      <w:r w:rsidR="008B0C66" w:rsidRPr="008B0C66">
        <w:rPr>
          <w:lang w:val="en-GB"/>
        </w:rPr>
        <w:t xml:space="preserve">order </w:t>
      </w:r>
      <w:r w:rsidR="008B0C66" w:rsidRPr="008B0C66">
        <w:rPr>
          <w:i/>
          <w:lang w:val="en-GB"/>
        </w:rPr>
        <w:t>Nidovirales</w:t>
      </w:r>
      <w:r w:rsidR="008B0C66" w:rsidRPr="008B0C66">
        <w:rPr>
          <w:lang w:val="en-GB"/>
        </w:rPr>
        <w:t xml:space="preserve"> plus three unclassified invertebrate viruses; ACTI, all viruses of </w:t>
      </w:r>
      <w:r w:rsidR="00340A68">
        <w:rPr>
          <w:lang w:val="en-GB"/>
        </w:rPr>
        <w:t xml:space="preserve">the </w:t>
      </w:r>
      <w:r w:rsidR="008B0C66" w:rsidRPr="008B0C66">
        <w:rPr>
          <w:lang w:val="en-GB"/>
        </w:rPr>
        <w:t xml:space="preserve">order </w:t>
      </w:r>
      <w:r w:rsidR="008B0C66" w:rsidRPr="008B0C66">
        <w:rPr>
          <w:i/>
          <w:lang w:val="en-GB"/>
        </w:rPr>
        <w:t>Nidovirales;</w:t>
      </w:r>
      <w:r w:rsidR="008B0C66" w:rsidRPr="008B0C66">
        <w:rPr>
          <w:lang w:val="en-GB"/>
        </w:rPr>
        <w:t xml:space="preserve"> CTI, ExoN-encoding viruses of the order </w:t>
      </w:r>
      <w:r w:rsidR="008B0C66" w:rsidRPr="008B0C66">
        <w:rPr>
          <w:i/>
          <w:lang w:val="en-GB"/>
        </w:rPr>
        <w:t>Nidovirales</w:t>
      </w:r>
      <w:r w:rsidR="008B0C66" w:rsidRPr="008B0C66">
        <w:rPr>
          <w:lang w:val="en-GB"/>
        </w:rPr>
        <w:t xml:space="preserve"> (family </w:t>
      </w:r>
      <w:r w:rsidR="008B0C66" w:rsidRPr="008B0C66">
        <w:rPr>
          <w:i/>
          <w:lang w:val="en-GB"/>
        </w:rPr>
        <w:t>Coronaviridae</w:t>
      </w:r>
      <w:r w:rsidR="008B0C66" w:rsidRPr="008B0C66">
        <w:rPr>
          <w:lang w:val="en-GB"/>
        </w:rPr>
        <w:t xml:space="preserve"> + Invertebrate nidoviruses); Inv, Invertebrate nidoviruses; Me, </w:t>
      </w:r>
      <w:r w:rsidR="008B0C66" w:rsidRPr="008B0C66">
        <w:rPr>
          <w:i/>
          <w:lang w:val="en-GB"/>
        </w:rPr>
        <w:t>Mesoniviridae</w:t>
      </w:r>
      <w:r w:rsidR="008B0C66" w:rsidRPr="008B0C66">
        <w:rPr>
          <w:lang w:val="en-GB"/>
        </w:rPr>
        <w:t xml:space="preserve"> family; CoTo, family </w:t>
      </w:r>
      <w:r w:rsidR="008B0C66" w:rsidRPr="008B0C66">
        <w:rPr>
          <w:i/>
          <w:lang w:val="en-GB"/>
        </w:rPr>
        <w:t>Coronaviridae;</w:t>
      </w:r>
      <w:r w:rsidR="008B0C66" w:rsidRPr="008B0C66">
        <w:rPr>
          <w:lang w:val="en-GB"/>
        </w:rPr>
        <w:t xml:space="preserve"> Co, subfamily </w:t>
      </w:r>
      <w:r w:rsidR="008B0C66" w:rsidRPr="008B0C66">
        <w:rPr>
          <w:i/>
          <w:lang w:val="en-GB"/>
        </w:rPr>
        <w:t>Coronaviri</w:t>
      </w:r>
      <w:r w:rsidR="00340A68">
        <w:rPr>
          <w:i/>
          <w:lang w:val="en-GB"/>
        </w:rPr>
        <w:t>n</w:t>
      </w:r>
      <w:r w:rsidR="008B0C66" w:rsidRPr="008B0C66">
        <w:rPr>
          <w:i/>
          <w:lang w:val="en-GB"/>
        </w:rPr>
        <w:t>ae</w:t>
      </w:r>
      <w:r w:rsidR="008B0C66" w:rsidRPr="008B0C66">
        <w:rPr>
          <w:lang w:val="en-GB"/>
        </w:rPr>
        <w:t xml:space="preserve">; To, subfamily </w:t>
      </w:r>
      <w:r w:rsidR="008B0C66" w:rsidRPr="008B0C66">
        <w:rPr>
          <w:i/>
          <w:lang w:val="en-GB"/>
        </w:rPr>
        <w:t>Torovirinae</w:t>
      </w:r>
      <w:r w:rsidR="008B0C66" w:rsidRPr="008B0C66">
        <w:rPr>
          <w:lang w:val="en-GB"/>
        </w:rPr>
        <w:t xml:space="preserve">; Ar, family </w:t>
      </w:r>
      <w:r w:rsidR="008B0C66" w:rsidRPr="008B0C66">
        <w:rPr>
          <w:i/>
          <w:lang w:val="en-GB"/>
        </w:rPr>
        <w:t>Arteriviridae.</w:t>
      </w:r>
      <w:r w:rsidR="008B0C66" w:rsidRPr="008B0C66">
        <w:rPr>
          <w:lang w:val="en-GB"/>
        </w:rPr>
        <w:t xml:space="preserve"> </w:t>
      </w:r>
      <w:r w:rsidR="00340A68">
        <w:rPr>
          <w:lang w:val="en-GB"/>
        </w:rPr>
        <w:t>The b</w:t>
      </w:r>
      <w:r w:rsidR="008B0C66" w:rsidRPr="008B0C66">
        <w:rPr>
          <w:lang w:val="en-GB"/>
        </w:rPr>
        <w:t xml:space="preserve">ottom panel shows </w:t>
      </w:r>
      <w:r w:rsidR="00340A68">
        <w:rPr>
          <w:lang w:val="en-GB"/>
        </w:rPr>
        <w:t xml:space="preserve">the </w:t>
      </w:r>
      <w:r w:rsidR="008B0C66" w:rsidRPr="008B0C66">
        <w:rPr>
          <w:lang w:val="en-GB"/>
        </w:rPr>
        <w:t xml:space="preserve">taxa coverage of each group of sequences. </w:t>
      </w:r>
      <w:r w:rsidR="00340A68">
        <w:rPr>
          <w:lang w:val="en-GB"/>
        </w:rPr>
        <w:t>The l</w:t>
      </w:r>
      <w:r w:rsidR="008B0C66" w:rsidRPr="008B0C66">
        <w:rPr>
          <w:lang w:val="en-GB"/>
        </w:rPr>
        <w:t xml:space="preserve">eft panel specifies ranks that are </w:t>
      </w:r>
      <w:r w:rsidR="006355CD">
        <w:rPr>
          <w:lang w:val="en-GB"/>
        </w:rPr>
        <w:t xml:space="preserve">largely </w:t>
      </w:r>
      <w:r w:rsidR="008B0C66" w:rsidRPr="008B0C66">
        <w:rPr>
          <w:lang w:val="en-GB"/>
        </w:rPr>
        <w:t xml:space="preserve">supported by DEmARC classifications of </w:t>
      </w:r>
      <w:r w:rsidR="00340A68">
        <w:rPr>
          <w:lang w:val="en-GB"/>
        </w:rPr>
        <w:t xml:space="preserve">the </w:t>
      </w:r>
      <w:r w:rsidR="008B0C66" w:rsidRPr="008B0C66">
        <w:rPr>
          <w:lang w:val="en-GB"/>
        </w:rPr>
        <w:t>respective group of sequences.</w:t>
      </w:r>
    </w:p>
    <w:p w14:paraId="7D07C730" w14:textId="77777777" w:rsidR="006C4A0C" w:rsidRDefault="006C4A0C" w:rsidP="00AC0E72">
      <w:pPr>
        <w:rPr>
          <w:lang w:val="en-GB"/>
        </w:rPr>
      </w:pPr>
    </w:p>
    <w:p w14:paraId="2E71893B" w14:textId="77777777" w:rsidR="00AC0E72" w:rsidRDefault="00AC0E72" w:rsidP="00D9423A"/>
    <w:p w14:paraId="2688DB25" w14:textId="6D210AD4" w:rsidR="008B0C66" w:rsidRDefault="00B60106" w:rsidP="008B0C66">
      <w:r>
        <w:br w:type="page"/>
      </w:r>
      <w:r w:rsidR="001A2799" w:rsidRPr="001A2799">
        <w:rPr>
          <w:noProof/>
          <w:lang w:val="en-GB" w:eastAsia="en-GB"/>
        </w:rPr>
        <w:drawing>
          <wp:inline distT="0" distB="0" distL="0" distR="0" wp14:anchorId="498BAAB3" wp14:editId="0E2078C3">
            <wp:extent cx="3716215" cy="2062873"/>
            <wp:effectExtent l="0" t="0" r="0" b="0"/>
            <wp:docPr id="4" name="Picture 4" descr="Arteri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eri_domain_composition"/>
                    <pic:cNvPicPr>
                      <a:picLocks noChangeAspect="1" noChangeArrowheads="1"/>
                    </pic:cNvPicPr>
                  </pic:nvPicPr>
                  <pic:blipFill>
                    <a:blip r:embed="rId13">
                      <a:extLst>
                        <a:ext uri="{28A0092B-C50C-407E-A947-70E740481C1C}">
                          <a14:useLocalDpi xmlns:a14="http://schemas.microsoft.com/office/drawing/2010/main" val="0"/>
                        </a:ext>
                      </a:extLst>
                    </a:blip>
                    <a:srcRect r="46053"/>
                    <a:stretch>
                      <a:fillRect/>
                    </a:stretch>
                  </pic:blipFill>
                  <pic:spPr bwMode="auto">
                    <a:xfrm>
                      <a:off x="0" y="0"/>
                      <a:ext cx="3725891" cy="2068244"/>
                    </a:xfrm>
                    <a:prstGeom prst="rect">
                      <a:avLst/>
                    </a:prstGeom>
                    <a:noFill/>
                    <a:ln>
                      <a:noFill/>
                    </a:ln>
                  </pic:spPr>
                </pic:pic>
              </a:graphicData>
            </a:graphic>
          </wp:inline>
        </w:drawing>
      </w:r>
      <w:r w:rsidR="00545A4D">
        <w:rPr>
          <w:noProof/>
          <w:lang w:val="en-GB" w:eastAsia="en-GB"/>
        </w:rPr>
        <w:drawing>
          <wp:inline distT="0" distB="0" distL="0" distR="0" wp14:anchorId="5CE12EB7" wp14:editId="278829A0">
            <wp:extent cx="6012815" cy="181165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2815" cy="1811655"/>
                    </a:xfrm>
                    <a:prstGeom prst="rect">
                      <a:avLst/>
                    </a:prstGeom>
                    <a:noFill/>
                    <a:ln>
                      <a:noFill/>
                    </a:ln>
                  </pic:spPr>
                </pic:pic>
              </a:graphicData>
            </a:graphic>
          </wp:inline>
        </w:drawing>
      </w:r>
      <w:r w:rsidR="001A2799" w:rsidRPr="001A2799">
        <w:rPr>
          <w:noProof/>
          <w:lang w:val="en-GB" w:eastAsia="en-GB"/>
        </w:rPr>
        <w:drawing>
          <wp:inline distT="0" distB="0" distL="0" distR="0" wp14:anchorId="5A2D8781" wp14:editId="1FB4398E">
            <wp:extent cx="6002655" cy="1795145"/>
            <wp:effectExtent l="0" t="0" r="0" b="8255"/>
            <wp:docPr id="7" name="Bild 3" descr="Toro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ro_domain_composi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2655" cy="1795145"/>
                    </a:xfrm>
                    <a:prstGeom prst="rect">
                      <a:avLst/>
                    </a:prstGeom>
                    <a:noFill/>
                    <a:ln>
                      <a:noFill/>
                    </a:ln>
                  </pic:spPr>
                </pic:pic>
              </a:graphicData>
            </a:graphic>
          </wp:inline>
        </w:drawing>
      </w:r>
      <w:r w:rsidR="001A2799" w:rsidRPr="001A2799">
        <w:rPr>
          <w:noProof/>
          <w:lang w:val="en-GB" w:eastAsia="en-GB"/>
        </w:rPr>
        <w:drawing>
          <wp:inline distT="0" distB="0" distL="0" distR="0" wp14:anchorId="27A96A84" wp14:editId="29681B67">
            <wp:extent cx="6002655" cy="1795145"/>
            <wp:effectExtent l="0" t="0" r="0" b="8255"/>
            <wp:docPr id="8" name="Bild 4" descr="CoTo_domain_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To_domain_compositi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2655" cy="1795145"/>
                    </a:xfrm>
                    <a:prstGeom prst="rect">
                      <a:avLst/>
                    </a:prstGeom>
                    <a:noFill/>
                    <a:ln>
                      <a:noFill/>
                    </a:ln>
                  </pic:spPr>
                </pic:pic>
              </a:graphicData>
            </a:graphic>
          </wp:inline>
        </w:drawing>
      </w:r>
    </w:p>
    <w:p w14:paraId="6F874784" w14:textId="19F002E8" w:rsidR="001A2799" w:rsidRPr="001A2799" w:rsidRDefault="008B0C66" w:rsidP="001A2799">
      <w:pPr>
        <w:jc w:val="both"/>
        <w:rPr>
          <w:sz w:val="20"/>
          <w:szCs w:val="20"/>
        </w:rPr>
      </w:pPr>
      <w:r w:rsidRPr="008B0C66">
        <w:rPr>
          <w:b/>
        </w:rPr>
        <w:t>Fig. 2</w:t>
      </w:r>
      <w:r w:rsidRPr="008B0C66">
        <w:t xml:space="preserve">. </w:t>
      </w:r>
      <w:r w:rsidR="003E1660" w:rsidRPr="001A2799">
        <w:rPr>
          <w:sz w:val="20"/>
          <w:szCs w:val="20"/>
        </w:rPr>
        <w:t>Domain combination</w:t>
      </w:r>
      <w:r w:rsidR="00340A68" w:rsidRPr="001A2799">
        <w:rPr>
          <w:sz w:val="20"/>
          <w:szCs w:val="20"/>
        </w:rPr>
        <w:t>s</w:t>
      </w:r>
      <w:r w:rsidRPr="001A2799">
        <w:rPr>
          <w:sz w:val="20"/>
          <w:szCs w:val="20"/>
        </w:rPr>
        <w:t xml:space="preserve"> used for phylogenetic and DEmARC analyses </w:t>
      </w:r>
      <w:r w:rsidR="00282211" w:rsidRPr="001A2799">
        <w:rPr>
          <w:sz w:val="20"/>
          <w:szCs w:val="20"/>
        </w:rPr>
        <w:t xml:space="preserve">to revises family ranks structure and establish suborder rank </w:t>
      </w:r>
      <w:r w:rsidR="001A2799" w:rsidRPr="001A2799">
        <w:rPr>
          <w:sz w:val="20"/>
          <w:szCs w:val="20"/>
        </w:rPr>
        <w:t xml:space="preserve">structure of the </w:t>
      </w:r>
      <w:r w:rsidR="001A2799" w:rsidRPr="001A2799">
        <w:rPr>
          <w:i/>
          <w:sz w:val="20"/>
          <w:szCs w:val="20"/>
        </w:rPr>
        <w:t>Nidovirales</w:t>
      </w:r>
      <w:r w:rsidR="001A2799" w:rsidRPr="001A2799">
        <w:rPr>
          <w:sz w:val="20"/>
          <w:szCs w:val="20"/>
        </w:rPr>
        <w:t xml:space="preserve"> order. Shown are the domain compositions of three combinations of conserved replicative domains used in this analysis for four virus groups. They are depicted relative to the genome and open reading frames of the representative virus specified at the left and the virus group (see</w:t>
      </w:r>
      <w:r w:rsidR="001A2799" w:rsidRPr="001A2799">
        <w:rPr>
          <w:b/>
          <w:sz w:val="20"/>
          <w:szCs w:val="20"/>
        </w:rPr>
        <w:t xml:space="preserve"> Fig. 1</w:t>
      </w:r>
      <w:r w:rsidR="001A2799" w:rsidRPr="001A2799">
        <w:rPr>
          <w:sz w:val="20"/>
          <w:szCs w:val="20"/>
        </w:rPr>
        <w:t xml:space="preserve">) specified at the right. EAV, Equine arteritis virus; NDiV, Nam Dinh virus; SARS-CoV, SARS coronavirus; BRV, Breda torovirus. 13d, 12d, 9d, 7d, 5d, and 2d, respectively, indicate the respective numbers of concatenated domains whose locations are indicated by gray lines. Results shown in </w:t>
      </w:r>
      <w:r w:rsidR="001A2799" w:rsidRPr="001A2799">
        <w:rPr>
          <w:b/>
          <w:sz w:val="20"/>
          <w:szCs w:val="20"/>
        </w:rPr>
        <w:t>Figures 3-7</w:t>
      </w:r>
      <w:r w:rsidR="001A2799" w:rsidRPr="001A2799">
        <w:rPr>
          <w:sz w:val="20"/>
          <w:szCs w:val="20"/>
        </w:rPr>
        <w:t xml:space="preserve"> were obtained for 5d combinations of two virus datasets (Gulyaeva et al &amp; Gorbalenya, unpublished).</w:t>
      </w:r>
    </w:p>
    <w:p w14:paraId="1929887D" w14:textId="47FB7F09" w:rsidR="008B0C66" w:rsidRDefault="008B0C66" w:rsidP="001A2799">
      <w:pPr>
        <w:jc w:val="both"/>
      </w:pPr>
      <w:r>
        <w:br w:type="page"/>
      </w:r>
      <w:r w:rsidR="001065A1">
        <w:rPr>
          <w:noProof/>
          <w:lang w:val="en-GB" w:eastAsia="en-GB"/>
        </w:rPr>
        <w:drawing>
          <wp:inline distT="0" distB="0" distL="0" distR="0" wp14:anchorId="16456027" wp14:editId="1E487AE0">
            <wp:extent cx="6008914" cy="73803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1.tiff"/>
                    <pic:cNvPicPr/>
                  </pic:nvPicPr>
                  <pic:blipFill rotWithShape="1">
                    <a:blip r:embed="rId17">
                      <a:extLst>
                        <a:ext uri="{28A0092B-C50C-407E-A947-70E740481C1C}">
                          <a14:useLocalDpi xmlns:a14="http://schemas.microsoft.com/office/drawing/2010/main" val="0"/>
                        </a:ext>
                      </a:extLst>
                    </a:blip>
                    <a:srcRect t="1739"/>
                    <a:stretch/>
                  </pic:blipFill>
                  <pic:spPr bwMode="auto">
                    <a:xfrm>
                      <a:off x="0" y="0"/>
                      <a:ext cx="6007735" cy="7378907"/>
                    </a:xfrm>
                    <a:prstGeom prst="rect">
                      <a:avLst/>
                    </a:prstGeom>
                    <a:ln>
                      <a:noFill/>
                    </a:ln>
                    <a:extLst>
                      <a:ext uri="{53640926-AAD7-44D8-BBD7-CCE9431645EC}">
                        <a14:shadowObscured xmlns:a14="http://schemas.microsoft.com/office/drawing/2010/main"/>
                      </a:ext>
                    </a:extLst>
                  </pic:spPr>
                </pic:pic>
              </a:graphicData>
            </a:graphic>
          </wp:inline>
        </w:drawing>
      </w:r>
    </w:p>
    <w:p w14:paraId="02143E19" w14:textId="5EED5FC1" w:rsidR="00B60106" w:rsidRPr="002E60D5" w:rsidRDefault="00B60106" w:rsidP="006D4132">
      <w:pPr>
        <w:jc w:val="both"/>
        <w:rPr>
          <w:sz w:val="22"/>
          <w:szCs w:val="22"/>
        </w:rPr>
      </w:pPr>
      <w:r w:rsidRPr="002E60D5">
        <w:rPr>
          <w:b/>
          <w:sz w:val="22"/>
          <w:szCs w:val="22"/>
        </w:rPr>
        <w:t xml:space="preserve">Fig. </w:t>
      </w:r>
      <w:r w:rsidR="003E1660">
        <w:rPr>
          <w:b/>
          <w:sz w:val="22"/>
          <w:szCs w:val="22"/>
        </w:rPr>
        <w:t>3</w:t>
      </w:r>
      <w:r w:rsidRPr="002E60D5">
        <w:rPr>
          <w:sz w:val="22"/>
          <w:szCs w:val="22"/>
        </w:rPr>
        <w:t xml:space="preserve">. Cluster partitioning of the </w:t>
      </w:r>
      <w:r>
        <w:rPr>
          <w:sz w:val="22"/>
          <w:szCs w:val="22"/>
        </w:rPr>
        <w:t>phylogenetic tree of nidoviruses</w:t>
      </w:r>
      <w:r w:rsidRPr="002E60D5">
        <w:rPr>
          <w:sz w:val="22"/>
          <w:szCs w:val="22"/>
        </w:rPr>
        <w:t xml:space="preserve"> by DEmARC. Shown is the ML tree </w:t>
      </w:r>
      <w:r w:rsidR="009D06E4">
        <w:rPr>
          <w:sz w:val="22"/>
          <w:szCs w:val="22"/>
        </w:rPr>
        <w:t xml:space="preserve">of 87 nidoviruses (one for each nidovirus species delineated by DEmARC) </w:t>
      </w:r>
      <w:r w:rsidR="006262C5" w:rsidRPr="006262C5">
        <w:rPr>
          <w:sz w:val="22"/>
          <w:szCs w:val="22"/>
        </w:rPr>
        <w:t>inferred by IQ-Tree 1.5.5 using concatenated MSAs of 3CLpro</w:t>
      </w:r>
      <w:r w:rsidR="009D06E4">
        <w:rPr>
          <w:sz w:val="22"/>
          <w:szCs w:val="22"/>
        </w:rPr>
        <w:t>, NiRAN, RdRp, ZBD, HEL1 domains.</w:t>
      </w:r>
      <w:r w:rsidR="009D06E4" w:rsidRPr="00E07CD0">
        <w:rPr>
          <w:sz w:val="22"/>
          <w:szCs w:val="22"/>
        </w:rPr>
        <w:t xml:space="preserve"> </w:t>
      </w:r>
      <w:r w:rsidR="008A3ED3" w:rsidRPr="008A3ED3">
        <w:rPr>
          <w:sz w:val="22"/>
          <w:szCs w:val="22"/>
        </w:rPr>
        <w:t>For the virus abbreviations, see the accompanying spreadsheet 2017.012-015S.N.v</w:t>
      </w:r>
      <w:r w:rsidR="001D081C">
        <w:rPr>
          <w:sz w:val="22"/>
          <w:szCs w:val="22"/>
        </w:rPr>
        <w:t>3.Nidovirales_</w:t>
      </w:r>
      <w:r w:rsidR="008A3ED3" w:rsidRPr="008A3ED3">
        <w:rPr>
          <w:sz w:val="22"/>
          <w:szCs w:val="22"/>
        </w:rPr>
        <w:t xml:space="preserve">rev. </w:t>
      </w:r>
      <w:r w:rsidR="009D06E4">
        <w:rPr>
          <w:sz w:val="22"/>
          <w:szCs w:val="22"/>
        </w:rPr>
        <w:t>T</w:t>
      </w:r>
      <w:r w:rsidR="00340A68">
        <w:rPr>
          <w:sz w:val="22"/>
          <w:szCs w:val="22"/>
        </w:rPr>
        <w:t>he t</w:t>
      </w:r>
      <w:r w:rsidR="009D06E4">
        <w:rPr>
          <w:sz w:val="22"/>
          <w:szCs w:val="22"/>
        </w:rPr>
        <w:t xml:space="preserve">ree is </w:t>
      </w:r>
      <w:r w:rsidRPr="002E60D5">
        <w:rPr>
          <w:sz w:val="22"/>
          <w:szCs w:val="22"/>
        </w:rPr>
        <w:t xml:space="preserve">colored according to </w:t>
      </w:r>
      <w:r>
        <w:rPr>
          <w:sz w:val="22"/>
          <w:szCs w:val="22"/>
        </w:rPr>
        <w:t>7</w:t>
      </w:r>
      <w:r w:rsidRPr="002E60D5">
        <w:rPr>
          <w:sz w:val="22"/>
          <w:szCs w:val="22"/>
        </w:rPr>
        <w:t xml:space="preserve"> clusters (</w:t>
      </w:r>
      <w:r w:rsidRPr="00A26BAA">
        <w:rPr>
          <w:b/>
          <w:sz w:val="22"/>
          <w:szCs w:val="22"/>
        </w:rPr>
        <w:t>suborder taxa</w:t>
      </w:r>
      <w:r w:rsidRPr="002E60D5">
        <w:rPr>
          <w:sz w:val="22"/>
          <w:szCs w:val="22"/>
        </w:rPr>
        <w:t xml:space="preserve">) at </w:t>
      </w:r>
      <w:r>
        <w:rPr>
          <w:sz w:val="22"/>
          <w:szCs w:val="22"/>
        </w:rPr>
        <w:t>level</w:t>
      </w:r>
      <w:r w:rsidRPr="002E60D5">
        <w:rPr>
          <w:sz w:val="22"/>
          <w:szCs w:val="22"/>
        </w:rPr>
        <w:t xml:space="preserve"> </w:t>
      </w:r>
      <w:r w:rsidR="00075DC2">
        <w:rPr>
          <w:sz w:val="22"/>
          <w:szCs w:val="22"/>
        </w:rPr>
        <w:t>10</w:t>
      </w:r>
      <w:r w:rsidR="009D06E4" w:rsidRPr="002E60D5">
        <w:rPr>
          <w:sz w:val="22"/>
          <w:szCs w:val="22"/>
        </w:rPr>
        <w:t xml:space="preserve"> </w:t>
      </w:r>
      <w:r w:rsidR="006D4132">
        <w:rPr>
          <w:sz w:val="22"/>
          <w:szCs w:val="22"/>
        </w:rPr>
        <w:t>of</w:t>
      </w:r>
      <w:r w:rsidRPr="002E60D5">
        <w:rPr>
          <w:sz w:val="22"/>
          <w:szCs w:val="22"/>
        </w:rPr>
        <w:t xml:space="preserve"> </w:t>
      </w:r>
      <w:r w:rsidR="00340A68">
        <w:rPr>
          <w:sz w:val="22"/>
          <w:szCs w:val="22"/>
        </w:rPr>
        <w:t xml:space="preserve">the </w:t>
      </w:r>
      <w:r w:rsidRPr="002E60D5">
        <w:rPr>
          <w:sz w:val="22"/>
          <w:szCs w:val="22"/>
        </w:rPr>
        <w:t xml:space="preserve">DEmARC </w:t>
      </w:r>
      <w:r w:rsidR="006D4132">
        <w:rPr>
          <w:sz w:val="22"/>
          <w:szCs w:val="22"/>
        </w:rPr>
        <w:t>classification</w:t>
      </w:r>
      <w:r w:rsidR="009D06E4">
        <w:rPr>
          <w:sz w:val="22"/>
          <w:szCs w:val="22"/>
        </w:rPr>
        <w:t xml:space="preserve"> of </w:t>
      </w:r>
      <w:r w:rsidR="00417A81">
        <w:rPr>
          <w:sz w:val="22"/>
          <w:szCs w:val="22"/>
        </w:rPr>
        <w:t xml:space="preserve">the </w:t>
      </w:r>
      <w:r w:rsidR="009D06E4">
        <w:rPr>
          <w:sz w:val="22"/>
          <w:szCs w:val="22"/>
        </w:rPr>
        <w:t>ACTI</w:t>
      </w:r>
      <w:r w:rsidR="004F6E3F">
        <w:rPr>
          <w:sz w:val="22"/>
          <w:szCs w:val="22"/>
        </w:rPr>
        <w:t xml:space="preserve"> </w:t>
      </w:r>
      <w:r w:rsidR="00075DC2">
        <w:rPr>
          <w:sz w:val="22"/>
          <w:szCs w:val="22"/>
        </w:rPr>
        <w:t>5</w:t>
      </w:r>
      <w:r w:rsidR="004F6E3F">
        <w:rPr>
          <w:sz w:val="22"/>
          <w:szCs w:val="22"/>
        </w:rPr>
        <w:t>d</w:t>
      </w:r>
      <w:r w:rsidR="009D06E4">
        <w:rPr>
          <w:sz w:val="22"/>
          <w:szCs w:val="22"/>
        </w:rPr>
        <w:t xml:space="preserve"> dataset</w:t>
      </w:r>
      <w:r>
        <w:rPr>
          <w:sz w:val="22"/>
          <w:szCs w:val="22"/>
        </w:rPr>
        <w:t xml:space="preserve"> (see </w:t>
      </w:r>
      <w:r w:rsidRPr="00C439FD">
        <w:rPr>
          <w:b/>
          <w:sz w:val="22"/>
          <w:szCs w:val="22"/>
        </w:rPr>
        <w:t>Fig. 1</w:t>
      </w:r>
      <w:r>
        <w:rPr>
          <w:sz w:val="22"/>
          <w:szCs w:val="22"/>
        </w:rPr>
        <w:t>)</w:t>
      </w:r>
      <w:r w:rsidRPr="002E60D5">
        <w:rPr>
          <w:sz w:val="22"/>
          <w:szCs w:val="22"/>
        </w:rPr>
        <w:t xml:space="preserve">. The </w:t>
      </w:r>
      <w:r>
        <w:rPr>
          <w:sz w:val="22"/>
          <w:szCs w:val="22"/>
        </w:rPr>
        <w:t xml:space="preserve">current and </w:t>
      </w:r>
      <w:r w:rsidRPr="002E60D5">
        <w:rPr>
          <w:sz w:val="22"/>
          <w:szCs w:val="22"/>
        </w:rPr>
        <w:t xml:space="preserve">proposed </w:t>
      </w:r>
      <w:r>
        <w:rPr>
          <w:sz w:val="22"/>
          <w:szCs w:val="22"/>
        </w:rPr>
        <w:t>suborder</w:t>
      </w:r>
      <w:r w:rsidRPr="002E60D5">
        <w:rPr>
          <w:sz w:val="22"/>
          <w:szCs w:val="22"/>
        </w:rPr>
        <w:t xml:space="preserve"> structure</w:t>
      </w:r>
      <w:r w:rsidR="00417A81">
        <w:rPr>
          <w:sz w:val="22"/>
          <w:szCs w:val="22"/>
        </w:rPr>
        <w:t>s</w:t>
      </w:r>
      <w:r w:rsidRPr="002E60D5">
        <w:rPr>
          <w:sz w:val="22"/>
          <w:szCs w:val="22"/>
        </w:rPr>
        <w:t xml:space="preserve"> </w:t>
      </w:r>
      <w:r>
        <w:rPr>
          <w:sz w:val="22"/>
          <w:szCs w:val="22"/>
        </w:rPr>
        <w:t xml:space="preserve">of the order </w:t>
      </w:r>
      <w:r w:rsidRPr="00B60106">
        <w:rPr>
          <w:i/>
          <w:sz w:val="22"/>
          <w:szCs w:val="22"/>
        </w:rPr>
        <w:t>Nidovirales</w:t>
      </w:r>
      <w:r>
        <w:rPr>
          <w:sz w:val="22"/>
          <w:szCs w:val="22"/>
        </w:rPr>
        <w:t xml:space="preserve"> are</w:t>
      </w:r>
      <w:r w:rsidRPr="002E60D5">
        <w:rPr>
          <w:sz w:val="22"/>
          <w:szCs w:val="22"/>
        </w:rPr>
        <w:t xml:space="preserve"> detailed at the right of the virus names. (Gulyaeva et al &amp; Gorbalenya, unpublished). </w:t>
      </w:r>
    </w:p>
    <w:p w14:paraId="3D6D629D" w14:textId="1B64434A" w:rsidR="00B60106" w:rsidRDefault="00B60106" w:rsidP="00AC0E72">
      <w:pPr>
        <w:rPr>
          <w:lang w:val="en-GB"/>
        </w:rPr>
      </w:pPr>
      <w:r>
        <w:br w:type="page"/>
      </w:r>
      <w:r w:rsidR="00001AE3">
        <w:rPr>
          <w:noProof/>
          <w:lang w:val="en-GB" w:eastAsia="en-GB"/>
        </w:rPr>
        <w:drawing>
          <wp:inline distT="0" distB="0" distL="0" distR="0" wp14:anchorId="70763DAE" wp14:editId="3B2FA74B">
            <wp:extent cx="6004687" cy="735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_plots_for_proposal_Page_02.tiff"/>
                    <pic:cNvPicPr/>
                  </pic:nvPicPr>
                  <pic:blipFill rotWithShape="1">
                    <a:blip r:embed="rId18" cstate="print">
                      <a:extLst>
                        <a:ext uri="{28A0092B-C50C-407E-A947-70E740481C1C}">
                          <a14:useLocalDpi xmlns:a14="http://schemas.microsoft.com/office/drawing/2010/main" val="0"/>
                        </a:ext>
                      </a:extLst>
                    </a:blip>
                    <a:srcRect t="2030"/>
                    <a:stretch/>
                  </pic:blipFill>
                  <pic:spPr bwMode="auto">
                    <a:xfrm>
                      <a:off x="0" y="0"/>
                      <a:ext cx="6007735" cy="7357033"/>
                    </a:xfrm>
                    <a:prstGeom prst="rect">
                      <a:avLst/>
                    </a:prstGeom>
                    <a:ln>
                      <a:noFill/>
                    </a:ln>
                    <a:extLst>
                      <a:ext uri="{53640926-AAD7-44D8-BBD7-CCE9431645EC}">
                        <a14:shadowObscured xmlns:a14="http://schemas.microsoft.com/office/drawing/2010/main"/>
                      </a:ext>
                    </a:extLst>
                  </pic:spPr>
                </pic:pic>
              </a:graphicData>
            </a:graphic>
          </wp:inline>
        </w:drawing>
      </w:r>
    </w:p>
    <w:p w14:paraId="767FA4F3" w14:textId="55B663E1" w:rsidR="002E60D5" w:rsidRPr="002E60D5" w:rsidRDefault="002E60D5" w:rsidP="00E07CD0">
      <w:pPr>
        <w:jc w:val="both"/>
        <w:rPr>
          <w:sz w:val="22"/>
          <w:szCs w:val="22"/>
        </w:rPr>
      </w:pPr>
      <w:r w:rsidRPr="002E60D5">
        <w:rPr>
          <w:b/>
          <w:sz w:val="22"/>
          <w:szCs w:val="22"/>
        </w:rPr>
        <w:t xml:space="preserve">Fig. </w:t>
      </w:r>
      <w:r w:rsidR="003E1660">
        <w:rPr>
          <w:b/>
          <w:sz w:val="22"/>
          <w:szCs w:val="22"/>
        </w:rPr>
        <w:t>4</w:t>
      </w:r>
      <w:r w:rsidRPr="002E60D5">
        <w:rPr>
          <w:sz w:val="22"/>
          <w:szCs w:val="22"/>
        </w:rPr>
        <w:t xml:space="preserve">. </w:t>
      </w:r>
      <w:r w:rsidR="00E07CD0" w:rsidRPr="00E07CD0">
        <w:rPr>
          <w:sz w:val="22"/>
          <w:szCs w:val="22"/>
        </w:rPr>
        <w:t xml:space="preserve">Cluster partitioning of the phylogenetic tree of nidoviruses by DEmARC. Shown is the ML tree </w:t>
      </w:r>
      <w:r w:rsidR="00ED4BCF">
        <w:rPr>
          <w:sz w:val="22"/>
          <w:szCs w:val="22"/>
        </w:rPr>
        <w:t xml:space="preserve">of 87 nidoviruses (one for each nidovirus species delineated by DEmARC) </w:t>
      </w:r>
      <w:r w:rsidR="006262C5" w:rsidRPr="006262C5">
        <w:rPr>
          <w:sz w:val="22"/>
          <w:szCs w:val="22"/>
        </w:rPr>
        <w:t>inferred by IQ-Tree 1.5.5 using concatenated MSAs of 3CLpro</w:t>
      </w:r>
      <w:r w:rsidR="00ED4BCF">
        <w:rPr>
          <w:sz w:val="22"/>
          <w:szCs w:val="22"/>
        </w:rPr>
        <w:t>, NiRAN, RdRp, ZBD, HEL1 domains.</w:t>
      </w:r>
      <w:r w:rsidR="00ED4BCF" w:rsidRPr="00E07CD0">
        <w:rPr>
          <w:sz w:val="22"/>
          <w:szCs w:val="22"/>
        </w:rPr>
        <w:t xml:space="preserve"> </w:t>
      </w:r>
      <w:r w:rsidR="008A3ED3" w:rsidRPr="008A3ED3">
        <w:rPr>
          <w:sz w:val="22"/>
          <w:szCs w:val="22"/>
        </w:rPr>
        <w:t>For the virus abbreviations, see the accompanyin</w:t>
      </w:r>
      <w:r w:rsidR="001D081C">
        <w:rPr>
          <w:sz w:val="22"/>
          <w:szCs w:val="22"/>
        </w:rPr>
        <w:t>g spreadsheet 2017.012-015S.N.v3</w:t>
      </w:r>
      <w:r w:rsidR="008A3ED3" w:rsidRPr="008A3ED3">
        <w:rPr>
          <w:sz w:val="22"/>
          <w:szCs w:val="22"/>
        </w:rPr>
        <w:t>.Nidovirale</w:t>
      </w:r>
      <w:r w:rsidR="001D081C">
        <w:rPr>
          <w:sz w:val="22"/>
          <w:szCs w:val="22"/>
        </w:rPr>
        <w:t>s_</w:t>
      </w:r>
      <w:r w:rsidR="008A3ED3" w:rsidRPr="008A3ED3">
        <w:rPr>
          <w:sz w:val="22"/>
          <w:szCs w:val="22"/>
        </w:rPr>
        <w:t xml:space="preserve">rev. </w:t>
      </w:r>
      <w:r w:rsidR="00ED4BCF">
        <w:rPr>
          <w:sz w:val="22"/>
          <w:szCs w:val="22"/>
        </w:rPr>
        <w:t>T</w:t>
      </w:r>
      <w:r w:rsidR="00417A81">
        <w:rPr>
          <w:sz w:val="22"/>
          <w:szCs w:val="22"/>
        </w:rPr>
        <w:t>he t</w:t>
      </w:r>
      <w:r w:rsidR="00ED4BCF">
        <w:rPr>
          <w:sz w:val="22"/>
          <w:szCs w:val="22"/>
        </w:rPr>
        <w:t xml:space="preserve">ree is </w:t>
      </w:r>
      <w:r w:rsidR="00E07CD0" w:rsidRPr="00E07CD0">
        <w:rPr>
          <w:sz w:val="22"/>
          <w:szCs w:val="22"/>
        </w:rPr>
        <w:t xml:space="preserve">colored according to </w:t>
      </w:r>
      <w:r w:rsidR="00E07CD0">
        <w:rPr>
          <w:sz w:val="22"/>
          <w:szCs w:val="22"/>
        </w:rPr>
        <w:t>9</w:t>
      </w:r>
      <w:r w:rsidR="00E07CD0" w:rsidRPr="00E07CD0">
        <w:rPr>
          <w:sz w:val="22"/>
          <w:szCs w:val="22"/>
        </w:rPr>
        <w:t xml:space="preserve"> clusters (</w:t>
      </w:r>
      <w:r w:rsidR="00326742">
        <w:rPr>
          <w:b/>
          <w:sz w:val="22"/>
          <w:szCs w:val="22"/>
        </w:rPr>
        <w:t>family</w:t>
      </w:r>
      <w:r w:rsidR="00326742" w:rsidRPr="00A26BAA">
        <w:rPr>
          <w:b/>
          <w:sz w:val="22"/>
          <w:szCs w:val="22"/>
        </w:rPr>
        <w:t xml:space="preserve"> </w:t>
      </w:r>
      <w:r w:rsidR="00E07CD0" w:rsidRPr="00A26BAA">
        <w:rPr>
          <w:b/>
          <w:sz w:val="22"/>
          <w:szCs w:val="22"/>
        </w:rPr>
        <w:t>taxa</w:t>
      </w:r>
      <w:r w:rsidR="00E07CD0" w:rsidRPr="00E07CD0">
        <w:rPr>
          <w:sz w:val="22"/>
          <w:szCs w:val="22"/>
        </w:rPr>
        <w:t xml:space="preserve">) at level </w:t>
      </w:r>
      <w:r w:rsidR="00075DC2">
        <w:rPr>
          <w:sz w:val="22"/>
          <w:szCs w:val="22"/>
        </w:rPr>
        <w:t>8</w:t>
      </w:r>
      <w:r w:rsidR="00ED4BCF" w:rsidRPr="00E07CD0">
        <w:rPr>
          <w:sz w:val="22"/>
          <w:szCs w:val="22"/>
        </w:rPr>
        <w:t xml:space="preserve"> </w:t>
      </w:r>
      <w:r w:rsidR="00E07CD0" w:rsidRPr="00E07CD0">
        <w:rPr>
          <w:sz w:val="22"/>
          <w:szCs w:val="22"/>
        </w:rPr>
        <w:t xml:space="preserve">of </w:t>
      </w:r>
      <w:r w:rsidR="00417A81">
        <w:rPr>
          <w:sz w:val="22"/>
          <w:szCs w:val="22"/>
        </w:rPr>
        <w:t xml:space="preserve">the </w:t>
      </w:r>
      <w:r w:rsidR="00E07CD0" w:rsidRPr="00E07CD0">
        <w:rPr>
          <w:sz w:val="22"/>
          <w:szCs w:val="22"/>
        </w:rPr>
        <w:t>DEmARC classification</w:t>
      </w:r>
      <w:r w:rsidR="00ED4BCF">
        <w:rPr>
          <w:sz w:val="22"/>
          <w:szCs w:val="22"/>
        </w:rPr>
        <w:t xml:space="preserve"> of </w:t>
      </w:r>
      <w:r w:rsidR="00417A81">
        <w:rPr>
          <w:sz w:val="22"/>
          <w:szCs w:val="22"/>
        </w:rPr>
        <w:t xml:space="preserve">the </w:t>
      </w:r>
      <w:r w:rsidR="00ED4BCF">
        <w:rPr>
          <w:sz w:val="22"/>
          <w:szCs w:val="22"/>
        </w:rPr>
        <w:t xml:space="preserve">ACTI </w:t>
      </w:r>
      <w:r w:rsidR="00075DC2">
        <w:rPr>
          <w:sz w:val="22"/>
          <w:szCs w:val="22"/>
        </w:rPr>
        <w:t>5</w:t>
      </w:r>
      <w:r w:rsidR="004F6E3F">
        <w:rPr>
          <w:sz w:val="22"/>
          <w:szCs w:val="22"/>
        </w:rPr>
        <w:t xml:space="preserve">d </w:t>
      </w:r>
      <w:r w:rsidR="00ED4BCF">
        <w:rPr>
          <w:sz w:val="22"/>
          <w:szCs w:val="22"/>
        </w:rPr>
        <w:t>dataset</w:t>
      </w:r>
      <w:r w:rsidR="00E07CD0" w:rsidRPr="00E07CD0">
        <w:rPr>
          <w:sz w:val="22"/>
          <w:szCs w:val="22"/>
        </w:rPr>
        <w:t xml:space="preserve"> (see </w:t>
      </w:r>
      <w:r w:rsidR="00E07CD0" w:rsidRPr="00E07CD0">
        <w:rPr>
          <w:b/>
          <w:sz w:val="22"/>
          <w:szCs w:val="22"/>
        </w:rPr>
        <w:t>Fig. 1</w:t>
      </w:r>
      <w:r w:rsidR="00E07CD0" w:rsidRPr="00E07CD0">
        <w:rPr>
          <w:sz w:val="22"/>
          <w:szCs w:val="22"/>
        </w:rPr>
        <w:t xml:space="preserve">). </w:t>
      </w:r>
      <w:r w:rsidRPr="002E60D5">
        <w:rPr>
          <w:sz w:val="22"/>
          <w:szCs w:val="22"/>
        </w:rPr>
        <w:t xml:space="preserve">The </w:t>
      </w:r>
      <w:r w:rsidR="00B60106">
        <w:rPr>
          <w:sz w:val="22"/>
          <w:szCs w:val="22"/>
        </w:rPr>
        <w:t xml:space="preserve">current and </w:t>
      </w:r>
      <w:r w:rsidRPr="002E60D5">
        <w:rPr>
          <w:sz w:val="22"/>
          <w:szCs w:val="22"/>
        </w:rPr>
        <w:t xml:space="preserve">proposed </w:t>
      </w:r>
      <w:r w:rsidR="00B60106">
        <w:rPr>
          <w:sz w:val="22"/>
          <w:szCs w:val="22"/>
        </w:rPr>
        <w:t>family</w:t>
      </w:r>
      <w:r w:rsidRPr="002E60D5">
        <w:rPr>
          <w:sz w:val="22"/>
          <w:szCs w:val="22"/>
        </w:rPr>
        <w:t xml:space="preserve"> structure</w:t>
      </w:r>
      <w:r w:rsidR="00417A81">
        <w:rPr>
          <w:sz w:val="22"/>
          <w:szCs w:val="22"/>
        </w:rPr>
        <w:t>s</w:t>
      </w:r>
      <w:r w:rsidRPr="002E60D5">
        <w:rPr>
          <w:sz w:val="22"/>
          <w:szCs w:val="22"/>
        </w:rPr>
        <w:t xml:space="preserve"> </w:t>
      </w:r>
      <w:r w:rsidR="00B60106">
        <w:rPr>
          <w:sz w:val="22"/>
          <w:szCs w:val="22"/>
        </w:rPr>
        <w:t xml:space="preserve">of the order </w:t>
      </w:r>
      <w:r w:rsidR="00B60106" w:rsidRPr="00D9423A">
        <w:rPr>
          <w:i/>
          <w:sz w:val="22"/>
          <w:szCs w:val="22"/>
        </w:rPr>
        <w:t>Nidovirales</w:t>
      </w:r>
      <w:r w:rsidR="00B60106">
        <w:rPr>
          <w:sz w:val="22"/>
          <w:szCs w:val="22"/>
        </w:rPr>
        <w:t xml:space="preserve"> are</w:t>
      </w:r>
      <w:r w:rsidRPr="002E60D5">
        <w:rPr>
          <w:sz w:val="22"/>
          <w:szCs w:val="22"/>
        </w:rPr>
        <w:t xml:space="preserve"> detailed at the right of the virus names.</w:t>
      </w:r>
      <w:r w:rsidR="00D9423A">
        <w:rPr>
          <w:sz w:val="22"/>
          <w:szCs w:val="22"/>
        </w:rPr>
        <w:t xml:space="preserve"> </w:t>
      </w:r>
      <w:r w:rsidRPr="002E60D5">
        <w:rPr>
          <w:sz w:val="22"/>
          <w:szCs w:val="22"/>
        </w:rPr>
        <w:t xml:space="preserve">(Gulyaeva et al &amp; Gorbalenya, unpublished). </w:t>
      </w:r>
    </w:p>
    <w:p w14:paraId="08E44863" w14:textId="7D08B684" w:rsidR="00D9423A" w:rsidRPr="00C641FC" w:rsidRDefault="00D9423A" w:rsidP="00C641FC">
      <w:pPr>
        <w:pStyle w:val="BodyTextIndent"/>
        <w:ind w:left="0" w:firstLine="0"/>
        <w:rPr>
          <w:rFonts w:ascii="Times New Roman" w:hAnsi="Times New Roman"/>
          <w:color w:val="000000"/>
          <w:sz w:val="22"/>
          <w:szCs w:val="22"/>
        </w:rPr>
      </w:pPr>
      <w:r>
        <w:rPr>
          <w:color w:val="000000"/>
          <w:sz w:val="22"/>
          <w:szCs w:val="22"/>
        </w:rPr>
        <w:br w:type="page"/>
      </w:r>
      <w:r w:rsidR="00DE0E34">
        <w:rPr>
          <w:noProof/>
          <w:lang w:val="en-GB"/>
        </w:rPr>
        <w:drawing>
          <wp:inline distT="0" distB="0" distL="0" distR="0" wp14:anchorId="0921B113" wp14:editId="03BA566C">
            <wp:extent cx="4554000" cy="6602400"/>
            <wp:effectExtent l="0" t="0" r="0" b="8255"/>
            <wp:docPr id="3" name="Picture 3" descr="http://veb.lumc.nl/DEmARC/sessions/517f4efccad2720bffaa29dd3949a6d3/shared_DEmARC_projects_ProtoArCoToInv_EToV.2017-06-26_RdRp_Hel1__68_36_35_22_17_12_11_10_9/fig.Boxes1.png?random=e8a56ebfabd23c7cc920e8a90a96f3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veb.lumc.nl/DEmARC/sessions/517f4efccad2720bffaa29dd3949a6d3/shared_DEmARC_projects_ProtoArCoToInv_EToV.2017-06-26_RdRp_Hel1__68_36_35_22_17_12_11_10_9/fig.Boxes1.png?random=e8a56ebfabd23c7cc920e8a90a96f30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54000" cy="6602400"/>
                    </a:xfrm>
                    <a:prstGeom prst="rect">
                      <a:avLst/>
                    </a:prstGeom>
                    <a:noFill/>
                    <a:ln>
                      <a:noFill/>
                    </a:ln>
                  </pic:spPr>
                </pic:pic>
              </a:graphicData>
            </a:graphic>
          </wp:inline>
        </w:drawing>
      </w:r>
    </w:p>
    <w:p w14:paraId="38B9C49F" w14:textId="0F69B8EC" w:rsidR="00CE0DE4" w:rsidRPr="00991A82" w:rsidRDefault="00D9423A" w:rsidP="00635B3B">
      <w:pPr>
        <w:jc w:val="both"/>
        <w:rPr>
          <w:color w:val="000000"/>
          <w:sz w:val="22"/>
          <w:szCs w:val="22"/>
        </w:rPr>
      </w:pPr>
      <w:r w:rsidRPr="007C2E61">
        <w:rPr>
          <w:b/>
        </w:rPr>
        <w:t xml:space="preserve">Fig. </w:t>
      </w:r>
      <w:r w:rsidR="00DE0E34">
        <w:rPr>
          <w:b/>
        </w:rPr>
        <w:t>5</w:t>
      </w:r>
      <w:r w:rsidRPr="007C2E61">
        <w:rPr>
          <w:b/>
        </w:rPr>
        <w:t>.</w:t>
      </w:r>
      <w:r w:rsidRPr="007C2E61">
        <w:t xml:space="preserve"> Intra-group genetic divergence in </w:t>
      </w:r>
      <w:r w:rsidR="00417A81">
        <w:t xml:space="preserve">the </w:t>
      </w:r>
      <w:r w:rsidR="00BF38D8">
        <w:t>nine</w:t>
      </w:r>
      <w:r w:rsidRPr="007C2E61">
        <w:t xml:space="preserve">-level hierarchical clustering of </w:t>
      </w:r>
      <w:r>
        <w:t>all nidoviruses</w:t>
      </w:r>
      <w:r w:rsidRPr="007C2E61">
        <w:t xml:space="preserve"> </w:t>
      </w:r>
      <w:r w:rsidR="00F4696E">
        <w:t xml:space="preserve">and </w:t>
      </w:r>
      <w:r w:rsidR="00417A81">
        <w:t xml:space="preserve">a </w:t>
      </w:r>
      <w:r w:rsidR="00F4696E" w:rsidRPr="008B0C66">
        <w:rPr>
          <w:lang w:val="en-GB"/>
        </w:rPr>
        <w:t xml:space="preserve">monophyletic </w:t>
      </w:r>
      <w:r w:rsidR="00F4696E">
        <w:rPr>
          <w:lang w:val="en-GB"/>
        </w:rPr>
        <w:t xml:space="preserve">sister </w:t>
      </w:r>
      <w:r w:rsidR="00F4696E" w:rsidRPr="008B0C66">
        <w:rPr>
          <w:lang w:val="en-GB"/>
        </w:rPr>
        <w:t>group of</w:t>
      </w:r>
      <w:r w:rsidR="00F4696E">
        <w:rPr>
          <w:lang w:val="en-GB"/>
        </w:rPr>
        <w:t xml:space="preserve"> unclassified</w:t>
      </w:r>
      <w:r w:rsidR="00F4696E" w:rsidRPr="008B0C66">
        <w:rPr>
          <w:lang w:val="en-GB"/>
        </w:rPr>
        <w:t xml:space="preserve"> invertebrate viruses</w:t>
      </w:r>
      <w:r w:rsidR="00F4696E">
        <w:t xml:space="preserve"> </w:t>
      </w:r>
      <w:r>
        <w:t>(</w:t>
      </w:r>
      <w:r w:rsidR="00BF38D8">
        <w:t>P</w:t>
      </w:r>
      <w:r>
        <w:t xml:space="preserve">ACTI </w:t>
      </w:r>
      <w:r w:rsidR="001672DA">
        <w:t xml:space="preserve">2d </w:t>
      </w:r>
      <w:r>
        <w:t xml:space="preserve">dataset, </w:t>
      </w:r>
      <w:r w:rsidRPr="00BF38D8">
        <w:rPr>
          <w:b/>
        </w:rPr>
        <w:t>Fig. 1</w:t>
      </w:r>
      <w:r>
        <w:t xml:space="preserve">) </w:t>
      </w:r>
      <w:r w:rsidRPr="007C2E61">
        <w:t xml:space="preserve">by DEmARC. Levels are defined by the </w:t>
      </w:r>
      <w:r w:rsidR="00A471C6">
        <w:t>nine</w:t>
      </w:r>
      <w:r w:rsidR="00BF38D8" w:rsidRPr="007C2E61">
        <w:t xml:space="preserve"> </w:t>
      </w:r>
      <w:r w:rsidRPr="007C2E61">
        <w:t xml:space="preserve">strongest PPD thresholds. For simplicity, </w:t>
      </w:r>
      <w:r w:rsidR="00BF38D8">
        <w:t>identities of clusters at the lowest level</w:t>
      </w:r>
      <w:r w:rsidRPr="007C2E61">
        <w:t xml:space="preserve"> are indicated via </w:t>
      </w:r>
      <w:r>
        <w:t>arbitrary acronyms</w:t>
      </w:r>
      <w:r w:rsidRPr="007C2E61">
        <w:t xml:space="preserve"> (left axis); the number of viruses in the identified clusters are shown in brackets. All identified clusters correspond to monophyletic groups </w:t>
      </w:r>
      <w:r w:rsidR="00BF38D8">
        <w:t>on the phylogenetic tree</w:t>
      </w:r>
      <w:r w:rsidRPr="007C2E61">
        <w:t xml:space="preserve">. Box-and-whisker graphs were used to plot distributions of distances between viruses </w:t>
      </w:r>
      <w:r w:rsidR="008546D1">
        <w:t>belonging to the</w:t>
      </w:r>
      <w:r w:rsidRPr="007C2E61">
        <w:t xml:space="preserve"> same taxon</w:t>
      </w:r>
      <w:r w:rsidR="008546D1">
        <w:t xml:space="preserve"> on the candidate classification level under consideration, but different taxa on the previous level</w:t>
      </w:r>
      <w:r w:rsidRPr="007C2E61">
        <w:t xml:space="preserve">. </w:t>
      </w:r>
      <w:r w:rsidR="00CA09C3">
        <w:rPr>
          <w:noProof/>
          <w:lang w:val="en-GB" w:eastAsia="en-GB"/>
        </w:rPr>
        <mc:AlternateContent>
          <mc:Choice Requires="wps">
            <w:drawing>
              <wp:anchor distT="0" distB="0" distL="114300" distR="114300" simplePos="0" relativeHeight="251659264" behindDoc="0" locked="0" layoutInCell="1" allowOverlap="1" wp14:anchorId="77F33CF8" wp14:editId="4976F9AB">
                <wp:simplePos x="0" y="0"/>
                <wp:positionH relativeFrom="column">
                  <wp:posOffset>43180</wp:posOffset>
                </wp:positionH>
                <wp:positionV relativeFrom="paragraph">
                  <wp:posOffset>2380615</wp:posOffset>
                </wp:positionV>
                <wp:extent cx="5600700" cy="0"/>
                <wp:effectExtent l="14605" t="13970" r="13970" b="14605"/>
                <wp:wrapNone/>
                <wp:docPr id="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7DE11" id="Line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187.45pt" to="444.4pt,18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" strokecolor="navy" strokeweight="2pt"/>
            </w:pict>
          </mc:Fallback>
        </mc:AlternateContent>
      </w:r>
      <w:r w:rsidRPr="007C2E61">
        <w:t xml:space="preserve">The boxes span from the first to the third quartile and include the median (bold line), and the whiskers (dashed lines) extend to the extreme values. The corresponding part of the PPD distribution is depicted </w:t>
      </w:r>
      <w:r>
        <w:t xml:space="preserve">at </w:t>
      </w:r>
      <w:r w:rsidR="00417A81">
        <w:t xml:space="preserve">the </w:t>
      </w:r>
      <w:r>
        <w:t>bottom</w:t>
      </w:r>
      <w:r w:rsidRPr="007C2E61">
        <w:t xml:space="preserve">. </w:t>
      </w:r>
      <w:r>
        <w:t xml:space="preserve">Thresholds for family and sub-order ranks correspond to </w:t>
      </w:r>
      <w:r w:rsidR="00417A81">
        <w:t xml:space="preserve">the </w:t>
      </w:r>
      <w:r w:rsidR="00A471C6">
        <w:t xml:space="preserve">seventh </w:t>
      </w:r>
      <w:r>
        <w:t>(</w:t>
      </w:r>
      <w:r w:rsidR="00715C12">
        <w:t xml:space="preserve">right-most </w:t>
      </w:r>
      <w:r w:rsidR="00A471C6">
        <w:t>orange</w:t>
      </w:r>
      <w:r>
        <w:t xml:space="preserve">) and </w:t>
      </w:r>
      <w:r w:rsidR="00A471C6">
        <w:t xml:space="preserve">ninth </w:t>
      </w:r>
      <w:r>
        <w:t>(</w:t>
      </w:r>
      <w:r w:rsidR="00715C12">
        <w:t xml:space="preserve">right-most </w:t>
      </w:r>
      <w:r w:rsidR="00A471C6">
        <w:t>violet</w:t>
      </w:r>
      <w:r>
        <w:t xml:space="preserve">) levels, respectively, of this classification </w:t>
      </w:r>
      <w:r w:rsidRPr="007C2E61">
        <w:t>(Gulyaeva et al. &amp; Gorbalenya, unpublished).</w:t>
      </w:r>
      <w:r>
        <w:rPr>
          <w:noProof/>
          <w:lang w:val="en-GB"/>
        </w:rPr>
        <w:t xml:space="preserve"> </w:t>
      </w:r>
    </w:p>
    <w:sectPr w:rsidR="00CE0DE4" w:rsidRPr="00991A82" w:rsidSect="00991A8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4D117" w14:textId="77777777" w:rsidR="001732AE" w:rsidRDefault="001732AE" w:rsidP="001E7A67">
      <w:pPr>
        <w:pStyle w:val="Header"/>
      </w:pPr>
      <w:r>
        <w:separator/>
      </w:r>
    </w:p>
  </w:endnote>
  <w:endnote w:type="continuationSeparator" w:id="0">
    <w:p w14:paraId="0135E084" w14:textId="77777777" w:rsidR="001732AE" w:rsidRDefault="001732AE" w:rsidP="001E7A67">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6D41C" w14:textId="77777777" w:rsidR="00340A68" w:rsidRPr="002E52B9" w:rsidRDefault="00340A68"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BD60A4">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BD60A4">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C6BDB" w14:textId="77777777" w:rsidR="001732AE" w:rsidRDefault="001732AE" w:rsidP="001E7A67">
      <w:pPr>
        <w:pStyle w:val="Header"/>
      </w:pPr>
      <w:r>
        <w:separator/>
      </w:r>
    </w:p>
  </w:footnote>
  <w:footnote w:type="continuationSeparator" w:id="0">
    <w:p w14:paraId="0334B2F5" w14:textId="77777777" w:rsidR="001732AE" w:rsidRDefault="001732AE" w:rsidP="001E7A67">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74D22" w14:textId="77777777" w:rsidR="00340A68" w:rsidRPr="00F369A4" w:rsidRDefault="00340A68" w:rsidP="00802D02">
    <w:pPr>
      <w:pStyle w:val="Header"/>
      <w:jc w:val="right"/>
      <w:rPr>
        <w:rFonts w:ascii="Calibri" w:hAnsi="Calibri"/>
        <w:sz w:val="22"/>
        <w:szCs w:val="22"/>
      </w:rPr>
    </w:pPr>
    <w:r w:rsidRPr="00F369A4">
      <w:rPr>
        <w:rFonts w:ascii="Calibri" w:hAnsi="Calibri"/>
        <w:sz w:val="22"/>
        <w:szCs w:val="22"/>
      </w:rPr>
      <w:t>1</w:t>
    </w:r>
    <w:r>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4B5744"/>
    <w:multiLevelType w:val="hybridMultilevel"/>
    <w:tmpl w:val="6E22A6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2"/>
  </w:num>
  <w:num w:numId="22">
    <w:abstractNumId w:val="6"/>
  </w:num>
  <w:num w:numId="23">
    <w:abstractNumId w:val="14"/>
  </w:num>
  <w:num w:numId="24">
    <w:abstractNumId w:val="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1AE3"/>
    <w:rsid w:val="00004F39"/>
    <w:rsid w:val="00016519"/>
    <w:rsid w:val="00024051"/>
    <w:rsid w:val="000315E5"/>
    <w:rsid w:val="00034DE5"/>
    <w:rsid w:val="000360CB"/>
    <w:rsid w:val="000420CB"/>
    <w:rsid w:val="0004304B"/>
    <w:rsid w:val="00053D84"/>
    <w:rsid w:val="00054F10"/>
    <w:rsid w:val="00067894"/>
    <w:rsid w:val="00072CC5"/>
    <w:rsid w:val="00075DC2"/>
    <w:rsid w:val="00083711"/>
    <w:rsid w:val="0008787B"/>
    <w:rsid w:val="00093DD3"/>
    <w:rsid w:val="000A05F1"/>
    <w:rsid w:val="000A6DE3"/>
    <w:rsid w:val="000A7F1C"/>
    <w:rsid w:val="000B2052"/>
    <w:rsid w:val="000C0126"/>
    <w:rsid w:val="000C32A9"/>
    <w:rsid w:val="000D2F03"/>
    <w:rsid w:val="000F5890"/>
    <w:rsid w:val="000F5A87"/>
    <w:rsid w:val="00100092"/>
    <w:rsid w:val="00102011"/>
    <w:rsid w:val="00104A4B"/>
    <w:rsid w:val="0010595F"/>
    <w:rsid w:val="001065A1"/>
    <w:rsid w:val="00114BD4"/>
    <w:rsid w:val="0012008F"/>
    <w:rsid w:val="00121260"/>
    <w:rsid w:val="0012796D"/>
    <w:rsid w:val="001353E3"/>
    <w:rsid w:val="001551A8"/>
    <w:rsid w:val="001578A6"/>
    <w:rsid w:val="001656AF"/>
    <w:rsid w:val="001664DF"/>
    <w:rsid w:val="00166712"/>
    <w:rsid w:val="001672DA"/>
    <w:rsid w:val="0017329D"/>
    <w:rsid w:val="001732AE"/>
    <w:rsid w:val="00173983"/>
    <w:rsid w:val="00175789"/>
    <w:rsid w:val="0017739A"/>
    <w:rsid w:val="001811B7"/>
    <w:rsid w:val="00182E70"/>
    <w:rsid w:val="00185699"/>
    <w:rsid w:val="001946B2"/>
    <w:rsid w:val="001A2799"/>
    <w:rsid w:val="001B15E2"/>
    <w:rsid w:val="001C5EE1"/>
    <w:rsid w:val="001C7979"/>
    <w:rsid w:val="001D081C"/>
    <w:rsid w:val="001E59C1"/>
    <w:rsid w:val="001E7A67"/>
    <w:rsid w:val="001E7FD5"/>
    <w:rsid w:val="001F0D64"/>
    <w:rsid w:val="001F4031"/>
    <w:rsid w:val="001F4EAB"/>
    <w:rsid w:val="00202BB3"/>
    <w:rsid w:val="00202F8E"/>
    <w:rsid w:val="00210B49"/>
    <w:rsid w:val="00212269"/>
    <w:rsid w:val="002129A8"/>
    <w:rsid w:val="002208A6"/>
    <w:rsid w:val="0022566F"/>
    <w:rsid w:val="002361B7"/>
    <w:rsid w:val="00236673"/>
    <w:rsid w:val="0023721B"/>
    <w:rsid w:val="002539A7"/>
    <w:rsid w:val="00260377"/>
    <w:rsid w:val="00265E5A"/>
    <w:rsid w:val="00272878"/>
    <w:rsid w:val="002732D1"/>
    <w:rsid w:val="00275425"/>
    <w:rsid w:val="002777A3"/>
    <w:rsid w:val="00280921"/>
    <w:rsid w:val="00282211"/>
    <w:rsid w:val="0028367A"/>
    <w:rsid w:val="00283FE0"/>
    <w:rsid w:val="0028627E"/>
    <w:rsid w:val="00291213"/>
    <w:rsid w:val="002930D6"/>
    <w:rsid w:val="00295698"/>
    <w:rsid w:val="002978A6"/>
    <w:rsid w:val="002A4018"/>
    <w:rsid w:val="002A7D6D"/>
    <w:rsid w:val="002B75AB"/>
    <w:rsid w:val="002C0DE8"/>
    <w:rsid w:val="002E36D5"/>
    <w:rsid w:val="002E60D5"/>
    <w:rsid w:val="002F7B95"/>
    <w:rsid w:val="00302F3F"/>
    <w:rsid w:val="00304104"/>
    <w:rsid w:val="00306A5E"/>
    <w:rsid w:val="00307C58"/>
    <w:rsid w:val="00315AEE"/>
    <w:rsid w:val="00326742"/>
    <w:rsid w:val="00340A68"/>
    <w:rsid w:val="00342A81"/>
    <w:rsid w:val="00342D4D"/>
    <w:rsid w:val="003433D8"/>
    <w:rsid w:val="0034563C"/>
    <w:rsid w:val="003538F3"/>
    <w:rsid w:val="003563FA"/>
    <w:rsid w:val="003623D9"/>
    <w:rsid w:val="00364F36"/>
    <w:rsid w:val="003676E2"/>
    <w:rsid w:val="00372618"/>
    <w:rsid w:val="00377A06"/>
    <w:rsid w:val="003A0BE4"/>
    <w:rsid w:val="003A48CF"/>
    <w:rsid w:val="003A4E70"/>
    <w:rsid w:val="003A6C76"/>
    <w:rsid w:val="003B0CBB"/>
    <w:rsid w:val="003B1954"/>
    <w:rsid w:val="003B6DD6"/>
    <w:rsid w:val="003B7125"/>
    <w:rsid w:val="003C5D66"/>
    <w:rsid w:val="003D08E5"/>
    <w:rsid w:val="003D1827"/>
    <w:rsid w:val="003E02C3"/>
    <w:rsid w:val="003E1660"/>
    <w:rsid w:val="003E3AB2"/>
    <w:rsid w:val="003E7EEC"/>
    <w:rsid w:val="003F0180"/>
    <w:rsid w:val="003F3FEA"/>
    <w:rsid w:val="00402B0B"/>
    <w:rsid w:val="00402D8F"/>
    <w:rsid w:val="00404ECA"/>
    <w:rsid w:val="00413670"/>
    <w:rsid w:val="004152C9"/>
    <w:rsid w:val="00417A81"/>
    <w:rsid w:val="00422FF0"/>
    <w:rsid w:val="004435EC"/>
    <w:rsid w:val="00444E1E"/>
    <w:rsid w:val="00447321"/>
    <w:rsid w:val="0044774D"/>
    <w:rsid w:val="004662D6"/>
    <w:rsid w:val="0047500D"/>
    <w:rsid w:val="004937AC"/>
    <w:rsid w:val="00494623"/>
    <w:rsid w:val="004A350D"/>
    <w:rsid w:val="004A3DAC"/>
    <w:rsid w:val="004A6F2D"/>
    <w:rsid w:val="004B0C50"/>
    <w:rsid w:val="004B5D02"/>
    <w:rsid w:val="004C30A2"/>
    <w:rsid w:val="004C4961"/>
    <w:rsid w:val="004C7BA9"/>
    <w:rsid w:val="004D1655"/>
    <w:rsid w:val="004D1DAD"/>
    <w:rsid w:val="004D21E1"/>
    <w:rsid w:val="004D5AE7"/>
    <w:rsid w:val="004D748F"/>
    <w:rsid w:val="004E339C"/>
    <w:rsid w:val="004F0210"/>
    <w:rsid w:val="004F23EA"/>
    <w:rsid w:val="004F6E3F"/>
    <w:rsid w:val="004F771E"/>
    <w:rsid w:val="0050228B"/>
    <w:rsid w:val="00503E8B"/>
    <w:rsid w:val="00505D9F"/>
    <w:rsid w:val="0050662A"/>
    <w:rsid w:val="00516D9F"/>
    <w:rsid w:val="005201AD"/>
    <w:rsid w:val="00521073"/>
    <w:rsid w:val="00522E71"/>
    <w:rsid w:val="00530EFE"/>
    <w:rsid w:val="00534EED"/>
    <w:rsid w:val="005364E1"/>
    <w:rsid w:val="005368BD"/>
    <w:rsid w:val="00545A4D"/>
    <w:rsid w:val="00581ED1"/>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262C5"/>
    <w:rsid w:val="00633947"/>
    <w:rsid w:val="00635404"/>
    <w:rsid w:val="006355CD"/>
    <w:rsid w:val="00635746"/>
    <w:rsid w:val="00635B3B"/>
    <w:rsid w:val="00636901"/>
    <w:rsid w:val="00636B14"/>
    <w:rsid w:val="00637004"/>
    <w:rsid w:val="00637223"/>
    <w:rsid w:val="00650171"/>
    <w:rsid w:val="00684626"/>
    <w:rsid w:val="00692BE3"/>
    <w:rsid w:val="0069409C"/>
    <w:rsid w:val="006A1735"/>
    <w:rsid w:val="006B2EE7"/>
    <w:rsid w:val="006C1134"/>
    <w:rsid w:val="006C4A0C"/>
    <w:rsid w:val="006D1B4E"/>
    <w:rsid w:val="006D4132"/>
    <w:rsid w:val="006D59EF"/>
    <w:rsid w:val="006E0B7B"/>
    <w:rsid w:val="006F1ADE"/>
    <w:rsid w:val="006F44A4"/>
    <w:rsid w:val="007016DD"/>
    <w:rsid w:val="00702CCD"/>
    <w:rsid w:val="00704198"/>
    <w:rsid w:val="007135C0"/>
    <w:rsid w:val="00715B64"/>
    <w:rsid w:val="00715C12"/>
    <w:rsid w:val="00720D17"/>
    <w:rsid w:val="00724281"/>
    <w:rsid w:val="00724490"/>
    <w:rsid w:val="00727159"/>
    <w:rsid w:val="00736F49"/>
    <w:rsid w:val="00746025"/>
    <w:rsid w:val="00751194"/>
    <w:rsid w:val="00752D7B"/>
    <w:rsid w:val="007602A2"/>
    <w:rsid w:val="0076759D"/>
    <w:rsid w:val="00774CB4"/>
    <w:rsid w:val="007772C2"/>
    <w:rsid w:val="007878DB"/>
    <w:rsid w:val="00792B22"/>
    <w:rsid w:val="0079318D"/>
    <w:rsid w:val="007A5735"/>
    <w:rsid w:val="007C1657"/>
    <w:rsid w:val="007C2E61"/>
    <w:rsid w:val="007C793A"/>
    <w:rsid w:val="007C7E0E"/>
    <w:rsid w:val="007D246C"/>
    <w:rsid w:val="007D4C57"/>
    <w:rsid w:val="007D6DB6"/>
    <w:rsid w:val="007E6C07"/>
    <w:rsid w:val="007E7ABF"/>
    <w:rsid w:val="007F5109"/>
    <w:rsid w:val="0080060B"/>
    <w:rsid w:val="00800BFD"/>
    <w:rsid w:val="00801148"/>
    <w:rsid w:val="00802D02"/>
    <w:rsid w:val="008071B6"/>
    <w:rsid w:val="008277F3"/>
    <w:rsid w:val="00830785"/>
    <w:rsid w:val="00835B67"/>
    <w:rsid w:val="008418CD"/>
    <w:rsid w:val="008442CB"/>
    <w:rsid w:val="008463CB"/>
    <w:rsid w:val="008546D1"/>
    <w:rsid w:val="008655D6"/>
    <w:rsid w:val="008762E5"/>
    <w:rsid w:val="00890FAF"/>
    <w:rsid w:val="00891C67"/>
    <w:rsid w:val="008A3ED3"/>
    <w:rsid w:val="008B0C66"/>
    <w:rsid w:val="008B1AF9"/>
    <w:rsid w:val="008B6D5E"/>
    <w:rsid w:val="008C2CC4"/>
    <w:rsid w:val="008C397F"/>
    <w:rsid w:val="008C7B86"/>
    <w:rsid w:val="008D044F"/>
    <w:rsid w:val="008E10B7"/>
    <w:rsid w:val="008E2333"/>
    <w:rsid w:val="008E3F06"/>
    <w:rsid w:val="008E4E0F"/>
    <w:rsid w:val="008E736E"/>
    <w:rsid w:val="008F03D2"/>
    <w:rsid w:val="008F4957"/>
    <w:rsid w:val="008F5FB1"/>
    <w:rsid w:val="008F6DE4"/>
    <w:rsid w:val="009062EF"/>
    <w:rsid w:val="00926A4D"/>
    <w:rsid w:val="0093622B"/>
    <w:rsid w:val="009551D6"/>
    <w:rsid w:val="009564E3"/>
    <w:rsid w:val="0096368E"/>
    <w:rsid w:val="00963FA9"/>
    <w:rsid w:val="00965805"/>
    <w:rsid w:val="00973680"/>
    <w:rsid w:val="009761BE"/>
    <w:rsid w:val="009845DD"/>
    <w:rsid w:val="009864D7"/>
    <w:rsid w:val="00986F6A"/>
    <w:rsid w:val="00987C77"/>
    <w:rsid w:val="009903E2"/>
    <w:rsid w:val="0099185C"/>
    <w:rsid w:val="00991A82"/>
    <w:rsid w:val="0099268F"/>
    <w:rsid w:val="00995425"/>
    <w:rsid w:val="009A3DE5"/>
    <w:rsid w:val="009A6C98"/>
    <w:rsid w:val="009B1712"/>
    <w:rsid w:val="009C1EBB"/>
    <w:rsid w:val="009C463B"/>
    <w:rsid w:val="009D06E4"/>
    <w:rsid w:val="009D29FA"/>
    <w:rsid w:val="009E036E"/>
    <w:rsid w:val="009F602F"/>
    <w:rsid w:val="00A03AA4"/>
    <w:rsid w:val="00A04FE2"/>
    <w:rsid w:val="00A11449"/>
    <w:rsid w:val="00A11ACF"/>
    <w:rsid w:val="00A26BAA"/>
    <w:rsid w:val="00A26EB0"/>
    <w:rsid w:val="00A27567"/>
    <w:rsid w:val="00A36B4E"/>
    <w:rsid w:val="00A430CB"/>
    <w:rsid w:val="00A471C6"/>
    <w:rsid w:val="00A52629"/>
    <w:rsid w:val="00A56BC8"/>
    <w:rsid w:val="00A724DF"/>
    <w:rsid w:val="00A77BC1"/>
    <w:rsid w:val="00A80214"/>
    <w:rsid w:val="00A84D14"/>
    <w:rsid w:val="00A85095"/>
    <w:rsid w:val="00A91DF9"/>
    <w:rsid w:val="00A9338E"/>
    <w:rsid w:val="00AA1E2F"/>
    <w:rsid w:val="00AA308A"/>
    <w:rsid w:val="00AA3952"/>
    <w:rsid w:val="00AA4A8A"/>
    <w:rsid w:val="00AC0E72"/>
    <w:rsid w:val="00AD11F4"/>
    <w:rsid w:val="00AD3814"/>
    <w:rsid w:val="00AE2858"/>
    <w:rsid w:val="00AF63CD"/>
    <w:rsid w:val="00AF65C7"/>
    <w:rsid w:val="00B04CD6"/>
    <w:rsid w:val="00B12A01"/>
    <w:rsid w:val="00B12D76"/>
    <w:rsid w:val="00B14EC4"/>
    <w:rsid w:val="00B216A1"/>
    <w:rsid w:val="00B2254A"/>
    <w:rsid w:val="00B245C5"/>
    <w:rsid w:val="00B261D6"/>
    <w:rsid w:val="00B34F6A"/>
    <w:rsid w:val="00B45888"/>
    <w:rsid w:val="00B50D77"/>
    <w:rsid w:val="00B5488B"/>
    <w:rsid w:val="00B60106"/>
    <w:rsid w:val="00B63708"/>
    <w:rsid w:val="00B845E3"/>
    <w:rsid w:val="00B84AA0"/>
    <w:rsid w:val="00B85D62"/>
    <w:rsid w:val="00B86BE8"/>
    <w:rsid w:val="00B91D87"/>
    <w:rsid w:val="00B94E8E"/>
    <w:rsid w:val="00BA3080"/>
    <w:rsid w:val="00BA5081"/>
    <w:rsid w:val="00BB7D24"/>
    <w:rsid w:val="00BD4541"/>
    <w:rsid w:val="00BD47D7"/>
    <w:rsid w:val="00BD60A4"/>
    <w:rsid w:val="00BE06F9"/>
    <w:rsid w:val="00BE18E9"/>
    <w:rsid w:val="00BF38D8"/>
    <w:rsid w:val="00BF4B2E"/>
    <w:rsid w:val="00BF7AA8"/>
    <w:rsid w:val="00C02291"/>
    <w:rsid w:val="00C06EE4"/>
    <w:rsid w:val="00C12C1B"/>
    <w:rsid w:val="00C156BC"/>
    <w:rsid w:val="00C15EC4"/>
    <w:rsid w:val="00C165C2"/>
    <w:rsid w:val="00C245DB"/>
    <w:rsid w:val="00C24ADB"/>
    <w:rsid w:val="00C3224F"/>
    <w:rsid w:val="00C3292D"/>
    <w:rsid w:val="00C439FD"/>
    <w:rsid w:val="00C44DF4"/>
    <w:rsid w:val="00C46C65"/>
    <w:rsid w:val="00C55862"/>
    <w:rsid w:val="00C632ED"/>
    <w:rsid w:val="00C641FC"/>
    <w:rsid w:val="00C64F92"/>
    <w:rsid w:val="00C65CC1"/>
    <w:rsid w:val="00C67A98"/>
    <w:rsid w:val="00C75039"/>
    <w:rsid w:val="00C762C9"/>
    <w:rsid w:val="00C80265"/>
    <w:rsid w:val="00C93C72"/>
    <w:rsid w:val="00C946A3"/>
    <w:rsid w:val="00C94A0B"/>
    <w:rsid w:val="00C94DE5"/>
    <w:rsid w:val="00CA09C3"/>
    <w:rsid w:val="00CA3D9A"/>
    <w:rsid w:val="00CA56E9"/>
    <w:rsid w:val="00CB3A13"/>
    <w:rsid w:val="00CB434C"/>
    <w:rsid w:val="00CB7C39"/>
    <w:rsid w:val="00CE0DE4"/>
    <w:rsid w:val="00CE2AB3"/>
    <w:rsid w:val="00CE408B"/>
    <w:rsid w:val="00CE5ECF"/>
    <w:rsid w:val="00CF3890"/>
    <w:rsid w:val="00CF5168"/>
    <w:rsid w:val="00D0602A"/>
    <w:rsid w:val="00D109E6"/>
    <w:rsid w:val="00D13294"/>
    <w:rsid w:val="00D15256"/>
    <w:rsid w:val="00D157F5"/>
    <w:rsid w:val="00D15A4D"/>
    <w:rsid w:val="00D16093"/>
    <w:rsid w:val="00D1634C"/>
    <w:rsid w:val="00D16A8B"/>
    <w:rsid w:val="00D2300C"/>
    <w:rsid w:val="00D23CE8"/>
    <w:rsid w:val="00D45CE9"/>
    <w:rsid w:val="00D4648E"/>
    <w:rsid w:val="00D47AC6"/>
    <w:rsid w:val="00D54045"/>
    <w:rsid w:val="00D6107E"/>
    <w:rsid w:val="00D62298"/>
    <w:rsid w:val="00D63A71"/>
    <w:rsid w:val="00D70DF3"/>
    <w:rsid w:val="00D76A94"/>
    <w:rsid w:val="00D87539"/>
    <w:rsid w:val="00D925EC"/>
    <w:rsid w:val="00D9423A"/>
    <w:rsid w:val="00DA5352"/>
    <w:rsid w:val="00DA5E5A"/>
    <w:rsid w:val="00DA71AC"/>
    <w:rsid w:val="00DA7AE7"/>
    <w:rsid w:val="00DB3CB3"/>
    <w:rsid w:val="00DB4BB2"/>
    <w:rsid w:val="00DC6415"/>
    <w:rsid w:val="00DD00F3"/>
    <w:rsid w:val="00DD4A36"/>
    <w:rsid w:val="00DD65CA"/>
    <w:rsid w:val="00DE0E34"/>
    <w:rsid w:val="00DE105D"/>
    <w:rsid w:val="00DE1FCF"/>
    <w:rsid w:val="00DE21CE"/>
    <w:rsid w:val="00DE3692"/>
    <w:rsid w:val="00DE3E25"/>
    <w:rsid w:val="00DE73A3"/>
    <w:rsid w:val="00E0008B"/>
    <w:rsid w:val="00E01B1B"/>
    <w:rsid w:val="00E03681"/>
    <w:rsid w:val="00E0377E"/>
    <w:rsid w:val="00E07CD0"/>
    <w:rsid w:val="00E11C94"/>
    <w:rsid w:val="00E11F4F"/>
    <w:rsid w:val="00E26C7E"/>
    <w:rsid w:val="00E347C2"/>
    <w:rsid w:val="00E36F9D"/>
    <w:rsid w:val="00E42843"/>
    <w:rsid w:val="00E4413A"/>
    <w:rsid w:val="00E46876"/>
    <w:rsid w:val="00E57A0B"/>
    <w:rsid w:val="00E60228"/>
    <w:rsid w:val="00E61E5A"/>
    <w:rsid w:val="00E66C21"/>
    <w:rsid w:val="00E73F9A"/>
    <w:rsid w:val="00E741F5"/>
    <w:rsid w:val="00E85248"/>
    <w:rsid w:val="00E946A5"/>
    <w:rsid w:val="00E97286"/>
    <w:rsid w:val="00EA06D0"/>
    <w:rsid w:val="00EA1332"/>
    <w:rsid w:val="00EA5C82"/>
    <w:rsid w:val="00EA6CA5"/>
    <w:rsid w:val="00EB0413"/>
    <w:rsid w:val="00EB5BAF"/>
    <w:rsid w:val="00EB7828"/>
    <w:rsid w:val="00EC11F1"/>
    <w:rsid w:val="00EC4F18"/>
    <w:rsid w:val="00EC540A"/>
    <w:rsid w:val="00ED138A"/>
    <w:rsid w:val="00ED4BCF"/>
    <w:rsid w:val="00EF6615"/>
    <w:rsid w:val="00F00D95"/>
    <w:rsid w:val="00F038BC"/>
    <w:rsid w:val="00F050DB"/>
    <w:rsid w:val="00F071D8"/>
    <w:rsid w:val="00F31A99"/>
    <w:rsid w:val="00F33889"/>
    <w:rsid w:val="00F343F2"/>
    <w:rsid w:val="00F369A4"/>
    <w:rsid w:val="00F41198"/>
    <w:rsid w:val="00F41F8B"/>
    <w:rsid w:val="00F42095"/>
    <w:rsid w:val="00F44D53"/>
    <w:rsid w:val="00F4696E"/>
    <w:rsid w:val="00F4759E"/>
    <w:rsid w:val="00F51B71"/>
    <w:rsid w:val="00F60789"/>
    <w:rsid w:val="00F60BB5"/>
    <w:rsid w:val="00F657DF"/>
    <w:rsid w:val="00F66DA7"/>
    <w:rsid w:val="00F728D2"/>
    <w:rsid w:val="00F74991"/>
    <w:rsid w:val="00F74D87"/>
    <w:rsid w:val="00F74EC7"/>
    <w:rsid w:val="00F80D0D"/>
    <w:rsid w:val="00F81990"/>
    <w:rsid w:val="00F85A70"/>
    <w:rsid w:val="00F912D1"/>
    <w:rsid w:val="00F93153"/>
    <w:rsid w:val="00F937C6"/>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C91AE"/>
  <w15:docId w15:val="{47020FD9-CEC2-4248-9BEC-136E68463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F72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image" Target="media/image3.jpeg"/><Relationship Id="rId18" Type="http://schemas.openxmlformats.org/officeDocument/2006/relationships/image" Target="media/image8.tif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veb.lumc.nl/HAYGENS/"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2350</Words>
  <Characters>13395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15714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Nick Knowles</cp:lastModifiedBy>
  <cp:revision>9</cp:revision>
  <cp:lastPrinted>2017-01-11T11:49:00Z</cp:lastPrinted>
  <dcterms:created xsi:type="dcterms:W3CDTF">2018-08-07T16:22:00Z</dcterms:created>
  <dcterms:modified xsi:type="dcterms:W3CDTF">2018-08-20T10:20:00Z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